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4FB92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评分细则</w:t>
      </w:r>
    </w:p>
    <w:tbl>
      <w:tblPr>
        <w:tblStyle w:val="3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1200"/>
        <w:gridCol w:w="5370"/>
      </w:tblGrid>
      <w:tr w14:paraId="19E9F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726" w:type="dxa"/>
          </w:tcPr>
          <w:p w14:paraId="23C54C43">
            <w:pPr>
              <w:jc w:val="both"/>
              <w:rPr>
                <w:rFonts w:hint="eastAsia" w:ascii="宋体" w:hAnsi="宋体" w:eastAsia="微软雅黑"/>
                <w:b/>
                <w:bCs/>
              </w:rPr>
            </w:pPr>
          </w:p>
          <w:p w14:paraId="63741161">
            <w:pPr>
              <w:jc w:val="center"/>
              <w:rPr>
                <w:rFonts w:hint="eastAsia" w:ascii="宋体" w:hAnsi="宋体" w:eastAsia="微软雅黑"/>
                <w:b/>
                <w:bCs/>
              </w:rPr>
            </w:pP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2F2F2"/>
              </w:rPr>
              <w:t>评分维度</w:t>
            </w:r>
          </w:p>
        </w:tc>
        <w:tc>
          <w:tcPr>
            <w:tcW w:w="1200" w:type="dxa"/>
          </w:tcPr>
          <w:p w14:paraId="5E4A96AE">
            <w:pPr>
              <w:jc w:val="center"/>
              <w:rPr>
                <w:rFonts w:hint="eastAsia" w:ascii="宋体" w:hAnsi="宋体" w:eastAsia="微软雅黑"/>
                <w:b/>
                <w:bCs/>
              </w:rPr>
            </w:pPr>
          </w:p>
          <w:p w14:paraId="41F903EB">
            <w:pPr>
              <w:jc w:val="center"/>
              <w:rPr>
                <w:rFonts w:hint="eastAsia" w:ascii="宋体" w:hAnsi="宋体" w:eastAsia="微软雅黑"/>
                <w:b/>
                <w:bCs/>
              </w:rPr>
            </w:pP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2F2F2"/>
              </w:rPr>
              <w:t>基础权重</w:t>
            </w:r>
          </w:p>
        </w:tc>
        <w:tc>
          <w:tcPr>
            <w:tcW w:w="5370" w:type="dxa"/>
          </w:tcPr>
          <w:p w14:paraId="0750BC6F">
            <w:pPr>
              <w:jc w:val="both"/>
              <w:rPr>
                <w:rFonts w:hint="eastAsia" w:ascii="宋体" w:hAnsi="宋体" w:eastAsia="微软雅黑"/>
                <w:b/>
                <w:bCs/>
              </w:rPr>
            </w:pPr>
          </w:p>
          <w:p w14:paraId="04ECA63D">
            <w:pPr>
              <w:jc w:val="center"/>
              <w:rPr>
                <w:rFonts w:hint="eastAsia" w:ascii="宋体" w:hAnsi="宋体" w:eastAsia="微软雅黑"/>
                <w:b/>
                <w:bCs/>
              </w:rPr>
            </w:pP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2F2F2"/>
              </w:rPr>
              <w:t>核心考察内容</w:t>
            </w:r>
          </w:p>
        </w:tc>
      </w:tr>
      <w:tr w14:paraId="2F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726" w:type="dxa"/>
          </w:tcPr>
          <w:p w14:paraId="76615F02">
            <w:pPr>
              <w:jc w:val="center"/>
              <w:rPr>
                <w:rFonts w:hint="eastAsia" w:ascii="宋体" w:hAnsi="宋体" w:eastAsia="微软雅黑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内容与主题</w:t>
            </w:r>
          </w:p>
        </w:tc>
        <w:tc>
          <w:tcPr>
            <w:tcW w:w="1200" w:type="dxa"/>
          </w:tcPr>
          <w:p w14:paraId="1337EAD6">
            <w:pPr>
              <w:jc w:val="center"/>
              <w:rPr>
                <w:rFonts w:hint="default" w:ascii="宋体" w:hAnsi="宋体" w:eastAsia="微软雅黑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20%</w:t>
            </w:r>
          </w:p>
        </w:tc>
        <w:tc>
          <w:tcPr>
            <w:tcW w:w="5370" w:type="dxa"/>
          </w:tcPr>
          <w:p w14:paraId="7CD26D29">
            <w:pPr>
              <w:jc w:val="center"/>
              <w:rPr>
                <w:rFonts w:hint="default" w:ascii="宋体" w:hAnsi="宋体" w:eastAsia="微软雅黑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</w:rPr>
              <w:t>选题适配性（是否符合比赛主题 ）、内容完整性（无断层 / 烂尾）、积极正向性</w:t>
            </w:r>
          </w:p>
        </w:tc>
      </w:tr>
      <w:tr w14:paraId="7C68F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726" w:type="dxa"/>
          </w:tcPr>
          <w:p w14:paraId="34F28DA1">
            <w:pPr>
              <w:jc w:val="center"/>
              <w:rPr>
                <w:rFonts w:hint="eastAsia" w:ascii="宋体" w:hAnsi="宋体" w:eastAsia="微软雅黑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专业技巧</w:t>
            </w:r>
          </w:p>
        </w:tc>
        <w:tc>
          <w:tcPr>
            <w:tcW w:w="1200" w:type="dxa"/>
          </w:tcPr>
          <w:p w14:paraId="14EA88A4">
            <w:pPr>
              <w:jc w:val="center"/>
              <w:rPr>
                <w:rFonts w:hint="eastAsia" w:ascii="宋体" w:hAnsi="宋体" w:eastAsia="微软雅黑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40%</w:t>
            </w:r>
          </w:p>
        </w:tc>
        <w:tc>
          <w:tcPr>
            <w:tcW w:w="5370" w:type="dxa"/>
          </w:tcPr>
          <w:p w14:paraId="656876E6">
            <w:pPr>
              <w:jc w:val="center"/>
              <w:rPr>
                <w:rFonts w:hint="eastAsia" w:ascii="宋体" w:hAnsi="宋体" w:eastAsia="微软雅黑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</w:rPr>
              <w:t>才艺核心能力（如歌唱的音准 / 气息、舞蹈的力度 / 节奏感、乐器的指法 / 音准、语言的发音 / 语速）</w:t>
            </w:r>
          </w:p>
        </w:tc>
      </w:tr>
      <w:tr w14:paraId="6964B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726" w:type="dxa"/>
          </w:tcPr>
          <w:p w14:paraId="6C3C1482">
            <w:pPr>
              <w:jc w:val="center"/>
              <w:rPr>
                <w:rFonts w:hint="default" w:ascii="宋体" w:hAnsi="宋体" w:eastAsia="微软雅黑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舞台表现力</w:t>
            </w:r>
          </w:p>
        </w:tc>
        <w:tc>
          <w:tcPr>
            <w:tcW w:w="1200" w:type="dxa"/>
          </w:tcPr>
          <w:p w14:paraId="3B99D773">
            <w:pPr>
              <w:jc w:val="center"/>
              <w:rPr>
                <w:rFonts w:hint="eastAsia" w:ascii="宋体" w:hAnsi="宋体" w:eastAsia="微软雅黑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25%</w:t>
            </w:r>
          </w:p>
        </w:tc>
        <w:tc>
          <w:tcPr>
            <w:tcW w:w="5370" w:type="dxa"/>
          </w:tcPr>
          <w:p w14:paraId="712E59FA">
            <w:pPr>
              <w:jc w:val="center"/>
              <w:rPr>
                <w:rFonts w:hint="eastAsia" w:ascii="宋体" w:hAnsi="宋体" w:eastAsia="微软雅黑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</w:rPr>
              <w:t>台风（自信度 / 肢体协调性）、情感传递（是否带动观众情绪）、互动感（与舞台 / 观众的呼应）</w:t>
            </w:r>
          </w:p>
        </w:tc>
      </w:tr>
      <w:tr w14:paraId="0A9F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726" w:type="dxa"/>
          </w:tcPr>
          <w:p w14:paraId="281C84BE">
            <w:pPr>
              <w:jc w:val="center"/>
              <w:rPr>
                <w:rFonts w:hint="eastAsia" w:ascii="宋体" w:hAnsi="宋体" w:eastAsia="微软雅黑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创意与特色</w:t>
            </w:r>
          </w:p>
        </w:tc>
        <w:tc>
          <w:tcPr>
            <w:tcW w:w="1200" w:type="dxa"/>
          </w:tcPr>
          <w:p w14:paraId="24473935">
            <w:pPr>
              <w:jc w:val="center"/>
              <w:rPr>
                <w:rFonts w:hint="eastAsia" w:ascii="宋体" w:hAnsi="宋体" w:eastAsia="微软雅黑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15%</w:t>
            </w:r>
          </w:p>
        </w:tc>
        <w:tc>
          <w:tcPr>
            <w:tcW w:w="5370" w:type="dxa"/>
          </w:tcPr>
          <w:p w14:paraId="04727839">
            <w:pPr>
              <w:jc w:val="center"/>
              <w:rPr>
                <w:rFonts w:hint="default" w:ascii="宋体" w:hAnsi="宋体" w:eastAsia="微软雅黑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</w:rPr>
              <w:t>形式创新（如传统才艺的现代化改编）、个人风格（独特的呈现方式 / 个人标识）、细节设计（服装 / 道具与才艺的适配）</w:t>
            </w:r>
          </w:p>
        </w:tc>
      </w:tr>
    </w:tbl>
    <w:p w14:paraId="3DA804ED">
      <w:pPr>
        <w:ind w:left="440"/>
        <w:jc w:val="both"/>
        <w:rPr>
          <w:rFonts w:hint="eastAsia" w:eastAsiaTheme="minorHAnsi"/>
        </w:rPr>
      </w:pPr>
    </w:p>
    <w:p w14:paraId="310B0282">
      <w:pPr>
        <w:jc w:val="center"/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531FC1"/>
    <w:rsid w:val="4D9F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rFonts w:ascii="Calibri" w:hAnsi="Calibri" w:eastAsia="微软雅黑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2025-10-20T12:52:56Z</dcterms:created>
  <dc:creator>15787</dc:creator>
  <cp:lastModifiedBy>璃影</cp:lastModifiedBy>
  <dcterms:modified xsi:type="dcterms:W3CDTF">2025-10-20T12:54:21Z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eyJoZGlkIjoiMzEwNTM5NzYwMDRjMzkwZTVkZjY2ODkwMGIxNGU0OTUiLCJ1c2VySWQiOiIxMjg5NDc3NzYzIn0=</vt:lpwstr>
  </property>
  <property fmtid="{D5CDD505-2E9C-101B-9397-08002B2CF9AE}" pid="4" name="ICV">
    <vt:lpwstr>310C35F4678A48D49CDD29230FC28BA6_12</vt:lpwstr>
  </property>
</Properties>
</file>