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560" w:firstLine="482"/>
        <w:rPr>
          <w:b/>
          <w:bCs/>
        </w:rPr>
      </w:pPr>
    </w:p>
    <w:p>
      <w:pPr>
        <w:spacing w:line="360" w:lineRule="auto"/>
        <w:ind w:left="560" w:firstLine="480"/>
      </w:pPr>
      <w:r>
        <w:drawing>
          <wp:anchor distT="0" distB="0" distL="114300" distR="114300" simplePos="0" relativeHeight="251659264" behindDoc="0" locked="0" layoutInCell="1" allowOverlap="1">
            <wp:simplePos x="0" y="0"/>
            <wp:positionH relativeFrom="page">
              <wp:posOffset>1135380</wp:posOffset>
            </wp:positionH>
            <wp:positionV relativeFrom="page">
              <wp:posOffset>1074420</wp:posOffset>
            </wp:positionV>
            <wp:extent cx="5274310" cy="956310"/>
            <wp:effectExtent l="0" t="0" r="2540" b="0"/>
            <wp:wrapNone/>
            <wp:docPr id="3806404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4048" name="图片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956310"/>
                    </a:xfrm>
                    <a:prstGeom prst="rect">
                      <a:avLst/>
                    </a:prstGeom>
                    <a:noFill/>
                  </pic:spPr>
                </pic:pic>
              </a:graphicData>
            </a:graphic>
          </wp:anchor>
        </w:drawing>
      </w:r>
    </w:p>
    <w:p>
      <w:pPr>
        <w:spacing w:line="360" w:lineRule="auto"/>
        <w:ind w:left="560" w:firstLine="480"/>
      </w:pPr>
    </w:p>
    <w:p>
      <w:pPr>
        <w:spacing w:line="360" w:lineRule="auto"/>
        <w:ind w:left="560" w:firstLine="480"/>
      </w:pPr>
    </w:p>
    <w:p>
      <w:pPr>
        <w:autoSpaceDE w:val="0"/>
        <w:autoSpaceDN w:val="0"/>
        <w:spacing w:line="360" w:lineRule="auto"/>
        <w:ind w:left="560" w:firstLine="0" w:firstLineChars="0"/>
        <w:rPr>
          <w:rFonts w:hint="eastAsia" w:ascii="宋体" w:hAnsi="宋体" w:cs="宋体"/>
          <w:b/>
          <w:color w:val="000000"/>
          <w:sz w:val="52"/>
          <w:szCs w:val="52"/>
        </w:rPr>
      </w:pPr>
      <w:r>
        <w:rPr>
          <w:rFonts w:ascii="宋体" w:hAnsi="宋体" w:cs="宋体"/>
          <w:b/>
          <w:color w:val="000000"/>
          <w:sz w:val="52"/>
          <w:szCs w:val="52"/>
        </w:rPr>
        <w:t>202</w:t>
      </w:r>
      <w:r>
        <w:rPr>
          <w:rFonts w:hint="eastAsia" w:ascii="宋体" w:hAnsi="宋体" w:cs="宋体"/>
          <w:b/>
          <w:color w:val="000000"/>
          <w:sz w:val="52"/>
          <w:szCs w:val="52"/>
        </w:rPr>
        <w:t>6</w:t>
      </w:r>
      <w:r>
        <w:rPr>
          <w:rFonts w:ascii="宋体" w:hAnsi="宋体" w:cs="宋体"/>
          <w:b/>
          <w:color w:val="000000"/>
          <w:sz w:val="52"/>
          <w:szCs w:val="52"/>
        </w:rPr>
        <w:t>年</w:t>
      </w:r>
      <w:r>
        <w:rPr>
          <w:rFonts w:ascii="宋体" w:hAnsi="宋体" w:cs="宋体"/>
          <w:b/>
          <w:color w:val="000000"/>
          <w:spacing w:val="1"/>
          <w:sz w:val="52"/>
          <w:szCs w:val="52"/>
        </w:rPr>
        <w:t>新</w:t>
      </w:r>
      <w:r>
        <w:rPr>
          <w:rFonts w:ascii="宋体" w:hAnsi="宋体" w:cs="宋体"/>
          <w:b/>
          <w:color w:val="000000"/>
          <w:sz w:val="52"/>
          <w:szCs w:val="52"/>
        </w:rPr>
        <w:t>生设想家模型制作竞赛</w:t>
      </w:r>
    </w:p>
    <w:p>
      <w:pPr>
        <w:autoSpaceDE w:val="0"/>
        <w:autoSpaceDN w:val="0"/>
        <w:spacing w:line="360" w:lineRule="auto"/>
        <w:ind w:left="560" w:firstLine="522" w:firstLineChars="100"/>
        <w:jc w:val="center"/>
        <w:rPr>
          <w:rFonts w:hint="eastAsia" w:ascii="宋体" w:hAnsi="宋体" w:cs="宋体"/>
          <w:b/>
          <w:color w:val="000000"/>
          <w:sz w:val="52"/>
          <w:szCs w:val="52"/>
        </w:rPr>
      </w:pPr>
    </w:p>
    <w:p>
      <w:pPr>
        <w:autoSpaceDE w:val="0"/>
        <w:autoSpaceDN w:val="0"/>
        <w:spacing w:line="360" w:lineRule="auto"/>
        <w:ind w:firstLine="194" w:firstLineChars="27"/>
        <w:jc w:val="center"/>
        <w:rPr>
          <w:rFonts w:hint="eastAsia" w:ascii="宋体" w:hAnsi="宋体" w:cs="宋体"/>
          <w:bCs/>
          <w:color w:val="000000"/>
          <w:sz w:val="72"/>
          <w:szCs w:val="72"/>
        </w:rPr>
      </w:pPr>
      <w:r>
        <w:rPr>
          <w:rFonts w:hint="eastAsia" w:ascii="宋体" w:hAnsi="宋体" w:cs="宋体"/>
          <w:bCs/>
          <w:color w:val="000000"/>
          <w:sz w:val="72"/>
          <w:szCs w:val="72"/>
        </w:rPr>
        <w:t>赛</w:t>
      </w:r>
    </w:p>
    <w:p>
      <w:pPr>
        <w:autoSpaceDE w:val="0"/>
        <w:autoSpaceDN w:val="0"/>
        <w:spacing w:line="360" w:lineRule="auto"/>
        <w:ind w:left="560" w:firstLine="3600" w:firstLineChars="500"/>
        <w:jc w:val="center"/>
        <w:rPr>
          <w:rFonts w:hint="eastAsia" w:ascii="宋体" w:hAnsi="宋体" w:cs="宋体"/>
          <w:bCs/>
          <w:color w:val="000000"/>
          <w:sz w:val="72"/>
          <w:szCs w:val="72"/>
        </w:rPr>
      </w:pPr>
    </w:p>
    <w:p>
      <w:pPr>
        <w:autoSpaceDE w:val="0"/>
        <w:autoSpaceDN w:val="0"/>
        <w:spacing w:line="360" w:lineRule="auto"/>
        <w:ind w:left="560" w:firstLine="3600" w:firstLineChars="500"/>
        <w:jc w:val="center"/>
        <w:rPr>
          <w:rFonts w:hint="eastAsia" w:ascii="宋体" w:hAnsi="宋体" w:cs="宋体"/>
          <w:bCs/>
          <w:color w:val="000000"/>
          <w:sz w:val="72"/>
          <w:szCs w:val="72"/>
        </w:rPr>
      </w:pPr>
    </w:p>
    <w:p>
      <w:pPr>
        <w:autoSpaceDE w:val="0"/>
        <w:autoSpaceDN w:val="0"/>
        <w:spacing w:line="360" w:lineRule="auto"/>
        <w:ind w:left="560" w:firstLine="3600" w:firstLineChars="500"/>
        <w:jc w:val="center"/>
        <w:rPr>
          <w:rFonts w:hint="eastAsia" w:ascii="宋体" w:hAnsi="宋体" w:cs="宋体"/>
          <w:bCs/>
          <w:color w:val="000000"/>
          <w:sz w:val="72"/>
          <w:szCs w:val="72"/>
        </w:rPr>
      </w:pPr>
    </w:p>
    <w:p>
      <w:pPr>
        <w:autoSpaceDE w:val="0"/>
        <w:autoSpaceDN w:val="0"/>
        <w:spacing w:line="360" w:lineRule="auto"/>
        <w:ind w:firstLine="194" w:firstLineChars="27"/>
        <w:jc w:val="center"/>
        <w:rPr>
          <w:rFonts w:hint="eastAsia" w:ascii="宋体" w:hAnsi="宋体" w:cs="宋体"/>
          <w:bCs/>
          <w:color w:val="000000"/>
          <w:sz w:val="72"/>
          <w:szCs w:val="72"/>
        </w:rPr>
      </w:pPr>
      <w:r>
        <w:rPr>
          <w:rFonts w:hint="eastAsia" w:ascii="宋体" w:hAnsi="宋体" w:cs="宋体"/>
          <w:bCs/>
          <w:color w:val="000000"/>
          <w:sz w:val="72"/>
          <w:szCs w:val="72"/>
        </w:rPr>
        <w:t>题</w:t>
      </w:r>
    </w:p>
    <w:p>
      <w:pPr>
        <w:autoSpaceDE w:val="0"/>
        <w:autoSpaceDN w:val="0"/>
        <w:spacing w:line="360" w:lineRule="auto"/>
        <w:ind w:firstLine="0" w:firstLineChars="0"/>
        <w:rPr>
          <w:rFonts w:hint="eastAsia" w:ascii="宋体" w:hAnsi="宋体" w:cs="宋体"/>
          <w:color w:val="000000"/>
          <w:spacing w:val="1"/>
          <w:szCs w:val="28"/>
        </w:rPr>
      </w:pPr>
    </w:p>
    <w:p>
      <w:pPr>
        <w:autoSpaceDE w:val="0"/>
        <w:autoSpaceDN w:val="0"/>
        <w:spacing w:line="360" w:lineRule="auto"/>
        <w:ind w:firstLine="0" w:firstLineChars="0"/>
        <w:jc w:val="center"/>
        <w:rPr>
          <w:rFonts w:hint="eastAsia" w:ascii="宋体" w:hAnsi="宋体" w:cs="宋体"/>
          <w:color w:val="000000"/>
          <w:spacing w:val="1"/>
          <w:szCs w:val="28"/>
        </w:rPr>
      </w:pPr>
    </w:p>
    <w:p>
      <w:pPr>
        <w:autoSpaceDE w:val="0"/>
        <w:autoSpaceDN w:val="0"/>
        <w:spacing w:line="360" w:lineRule="auto"/>
        <w:ind w:firstLine="0" w:firstLineChars="0"/>
        <w:jc w:val="center"/>
      </w:pPr>
      <w:r>
        <w:rPr>
          <w:rFonts w:ascii="宋体" w:hAnsi="宋体" w:cs="宋体"/>
          <w:color w:val="000000"/>
          <w:spacing w:val="1"/>
          <w:szCs w:val="28"/>
        </w:rPr>
        <w:t>共</w:t>
      </w:r>
      <w:r>
        <w:rPr>
          <w:rFonts w:ascii="宋体" w:hAnsi="宋体" w:cs="宋体"/>
          <w:color w:val="000000"/>
          <w:szCs w:val="28"/>
        </w:rPr>
        <w:t>青团西南交通大学委员会</w:t>
      </w:r>
    </w:p>
    <w:p>
      <w:pPr>
        <w:autoSpaceDE w:val="0"/>
        <w:autoSpaceDN w:val="0"/>
        <w:spacing w:line="360" w:lineRule="auto"/>
        <w:ind w:firstLine="0" w:firstLineChars="0"/>
        <w:jc w:val="center"/>
        <w:rPr>
          <w:rFonts w:hint="eastAsia" w:ascii="宋体" w:hAnsi="宋体" w:cs="宋体"/>
          <w:color w:val="000000"/>
          <w:szCs w:val="28"/>
        </w:rPr>
      </w:pPr>
      <w:r>
        <w:rPr>
          <w:rFonts w:ascii="宋体" w:hAnsi="宋体" w:cs="宋体"/>
          <w:color w:val="000000"/>
          <w:spacing w:val="1"/>
          <w:szCs w:val="28"/>
        </w:rPr>
        <w:t>西</w:t>
      </w:r>
      <w:r>
        <w:rPr>
          <w:rFonts w:ascii="宋体" w:hAnsi="宋体" w:cs="宋体"/>
          <w:color w:val="000000"/>
          <w:szCs w:val="28"/>
        </w:rPr>
        <w:t>南交通大学土木工程学院</w:t>
      </w:r>
    </w:p>
    <w:p>
      <w:pPr>
        <w:autoSpaceDE w:val="0"/>
        <w:autoSpaceDN w:val="0"/>
        <w:spacing w:line="360" w:lineRule="auto"/>
        <w:ind w:firstLine="0" w:firstLineChars="0"/>
        <w:jc w:val="center"/>
      </w:pPr>
      <w:r>
        <w:rPr>
          <w:rFonts w:ascii="宋体" w:hAnsi="宋体" w:cs="宋体"/>
          <w:color w:val="000000"/>
          <w:szCs w:val="28"/>
        </w:rPr>
        <w:t>202</w:t>
      </w:r>
      <w:r>
        <w:rPr>
          <w:rFonts w:hint="eastAsia" w:ascii="宋体" w:hAnsi="宋体" w:cs="宋体"/>
          <w:color w:val="000000"/>
          <w:szCs w:val="28"/>
        </w:rPr>
        <w:t>6</w:t>
      </w:r>
      <w:r>
        <w:rPr>
          <w:rFonts w:ascii="宋体" w:hAnsi="宋体" w:cs="宋体"/>
          <w:color w:val="000000"/>
          <w:szCs w:val="28"/>
        </w:rPr>
        <w:t>年</w:t>
      </w:r>
      <w:r>
        <w:rPr>
          <w:rFonts w:hint="eastAsia" w:ascii="宋体" w:hAnsi="宋体" w:cs="宋体"/>
          <w:color w:val="000000"/>
          <w:szCs w:val="28"/>
          <w:lang w:val="en-US" w:eastAsia="zh-CN"/>
        </w:rPr>
        <w:t>10</w:t>
      </w:r>
      <w:bookmarkStart w:id="1" w:name="_GoBack"/>
      <w:bookmarkEnd w:id="1"/>
      <w:r>
        <w:rPr>
          <w:rFonts w:ascii="宋体" w:hAnsi="宋体" w:cs="宋体"/>
          <w:color w:val="000000"/>
          <w:spacing w:val="-1"/>
          <w:szCs w:val="28"/>
        </w:rPr>
        <w:t>月</w:t>
      </w:r>
    </w:p>
    <w:p>
      <w:pPr>
        <w:ind w:firstLine="0" w:firstLineChars="0"/>
        <w:jc w:val="both"/>
        <w:rPr>
          <w:rFonts w:hint="eastAsia" w:ascii="黑体" w:hAnsi="黑体" w:eastAsia="黑体" w:cs="黑体"/>
          <w:b/>
          <w:bCs/>
          <w:sz w:val="32"/>
          <w:szCs w:val="32"/>
        </w:rPr>
      </w:pPr>
    </w:p>
    <w:p>
      <w:pPr>
        <w:ind w:firstLine="0" w:firstLineChars="0"/>
        <w:jc w:val="center"/>
        <w:rPr>
          <w:rFonts w:hint="eastAsia" w:ascii="黑体" w:hAnsi="黑体" w:eastAsia="黑体" w:cs="黑体"/>
          <w:b/>
          <w:bCs/>
          <w:sz w:val="32"/>
          <w:szCs w:val="32"/>
        </w:rPr>
      </w:pPr>
      <w:r>
        <w:rPr>
          <w:rFonts w:hint="eastAsia" w:ascii="黑体" w:hAnsi="黑体" w:eastAsia="黑体" w:cs="黑体"/>
          <w:b/>
          <w:bCs/>
          <w:sz w:val="32"/>
          <w:szCs w:val="32"/>
        </w:rPr>
        <w:t>“纸筑叠梁，桥见匠心”——上下分层式卡纸梁桥</w:t>
      </w:r>
    </w:p>
    <w:p>
      <w:pPr>
        <w:ind w:firstLine="0" w:firstLineChars="0"/>
        <w:jc w:val="center"/>
        <w:rPr>
          <w:rFonts w:hint="eastAsia" w:ascii="黑体" w:hAnsi="黑体" w:eastAsia="黑体" w:cs="黑体"/>
          <w:b/>
          <w:bCs/>
          <w:sz w:val="32"/>
          <w:szCs w:val="32"/>
        </w:rPr>
      </w:pPr>
      <w:r>
        <w:rPr>
          <w:rFonts w:hint="eastAsia" w:ascii="黑体" w:hAnsi="黑体" w:eastAsia="黑体" w:cs="黑体"/>
          <w:b/>
          <w:bCs/>
          <w:sz w:val="32"/>
          <w:szCs w:val="32"/>
        </w:rPr>
        <w:t>模型设计与制作</w:t>
      </w:r>
    </w:p>
    <w:p>
      <w:pPr>
        <w:ind w:firstLine="0" w:firstLineChars="0"/>
        <w:rPr>
          <w:rFonts w:cs="Times New Roman"/>
          <w:b/>
          <w:bCs/>
        </w:rPr>
      </w:pPr>
      <w:r>
        <w:rPr>
          <w:rFonts w:hint="eastAsia" w:cs="Times New Roman"/>
          <w:b/>
          <w:bCs/>
        </w:rPr>
        <w:t>1命题背景</w:t>
      </w:r>
    </w:p>
    <w:p>
      <w:pPr>
        <w:spacing w:line="360" w:lineRule="auto"/>
        <w:ind w:left="560" w:firstLine="480"/>
        <w:rPr>
          <w:rFonts w:hint="eastAsia" w:ascii="楷体" w:hAnsi="楷体" w:cs="楷体"/>
        </w:rPr>
      </w:pPr>
      <w:bookmarkStart w:id="0" w:name="OLE_LINK2"/>
      <w:r>
        <w:rPr>
          <w:rFonts w:hint="eastAsia" w:ascii="楷体" w:hAnsi="楷体" w:cs="楷体"/>
        </w:rPr>
        <w:t>黄河流域作为国家重要的能源通道与交通枢纽，其桥梁建设长期面临大跨度、重荷载与复杂环境的多重挑战。三门峡黄河公铁两用大桥作为蒙华铁路（浩吉铁路）的控制性工程，主桥采用连续钢桁结合梁结构，曾以单联1142.5米的顶推长度、近4.3万吨的顶推重量及极高的设计活载标准，创下多项世界纪录。该桥创新性地采用“上通公路、下通铁路”的双层布置形式：上层布设双向六车道高速公路，下层集纳四线铁路（双线蒙华铁路、双线运三铁路），是目前世界上设计荷载最重的公铁两用桥梁之一。</w:t>
      </w:r>
    </w:p>
    <w:p>
      <w:pPr>
        <w:spacing w:line="360" w:lineRule="auto"/>
        <w:ind w:left="560" w:firstLine="480"/>
        <w:rPr>
          <w:rFonts w:hint="eastAsia" w:ascii="楷体" w:hAnsi="楷体" w:cs="楷体"/>
        </w:rPr>
      </w:pPr>
      <w:r>
        <w:rPr>
          <w:rFonts w:hint="eastAsia" w:ascii="楷体" w:hAnsi="楷体" w:cs="楷体"/>
        </w:rPr>
        <w:t>基于此工程背景，本届竞赛要求参赛队伍以白卡纸为唯一材料，设计制作一座缩尺的上下分层式单跨梁桥模型。</w:t>
      </w:r>
      <w:bookmarkEnd w:id="0"/>
    </w:p>
    <w:p>
      <w:pPr>
        <w:spacing w:line="360" w:lineRule="auto"/>
        <w:ind w:firstLine="0" w:firstLineChars="0"/>
        <w:rPr>
          <w:rFonts w:cs="Times New Roman"/>
        </w:rPr>
      </w:pPr>
      <w:r>
        <w:rPr>
          <w:rFonts w:ascii="宋体" w:hAnsi="宋体" w:eastAsia="宋体" w:cs="宋体"/>
        </w:rPr>
        <w:drawing>
          <wp:inline distT="0" distB="0" distL="114300" distR="114300">
            <wp:extent cx="2392045" cy="1481455"/>
            <wp:effectExtent l="0" t="0" r="8255" b="4445"/>
            <wp:docPr id="1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IMG_256"/>
                    <pic:cNvPicPr>
                      <a:picLocks noChangeAspect="1"/>
                    </pic:cNvPicPr>
                  </pic:nvPicPr>
                  <pic:blipFill>
                    <a:blip r:embed="rId13"/>
                    <a:stretch>
                      <a:fillRect/>
                    </a:stretch>
                  </pic:blipFill>
                  <pic:spPr>
                    <a:xfrm>
                      <a:off x="0" y="0"/>
                      <a:ext cx="2392045" cy="1481455"/>
                    </a:xfrm>
                    <a:prstGeom prst="rect">
                      <a:avLst/>
                    </a:prstGeom>
                    <a:noFill/>
                    <a:ln w="9525">
                      <a:noFill/>
                    </a:ln>
                  </pic:spPr>
                </pic:pic>
              </a:graphicData>
            </a:graphic>
          </wp:inline>
        </w:drawing>
      </w:r>
      <w:r>
        <w:rPr>
          <w:rFonts w:cs="Times New Roman"/>
        </w:rPr>
        <w:drawing>
          <wp:inline distT="0" distB="0" distL="0" distR="0">
            <wp:extent cx="2585720" cy="1473835"/>
            <wp:effectExtent l="0" t="0" r="508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585720" cy="1473835"/>
                    </a:xfrm>
                    <a:prstGeom prst="rect">
                      <a:avLst/>
                    </a:prstGeom>
                    <a:noFill/>
                    <a:ln>
                      <a:noFill/>
                    </a:ln>
                  </pic:spPr>
                </pic:pic>
              </a:graphicData>
            </a:graphic>
          </wp:inline>
        </w:drawing>
      </w:r>
    </w:p>
    <w:p>
      <w:pPr>
        <w:pStyle w:val="44"/>
        <w:rPr>
          <w:rFonts w:hint="default"/>
        </w:rPr>
      </w:pPr>
      <w:r>
        <w:t>图1-1、1-2 三门峡黄河公铁两用大桥背景图</w:t>
      </w:r>
    </w:p>
    <w:p>
      <w:pPr>
        <w:spacing w:line="360" w:lineRule="auto"/>
        <w:ind w:firstLine="0" w:firstLineChars="0"/>
        <w:rPr>
          <w:rFonts w:cs="Times New Roman"/>
          <w:b/>
          <w:bCs/>
        </w:rPr>
      </w:pPr>
      <w:r>
        <w:rPr>
          <w:rFonts w:cs="Times New Roman"/>
          <w:b/>
          <w:bCs/>
        </w:rPr>
        <w:t>2结构要求</w:t>
      </w:r>
    </w:p>
    <w:p>
      <w:pPr>
        <w:ind w:firstLine="0" w:firstLineChars="0"/>
        <w:rPr>
          <w:rFonts w:cs="Times New Roman"/>
          <w:b/>
          <w:bCs/>
        </w:rPr>
      </w:pPr>
      <w:r>
        <w:rPr>
          <w:rFonts w:cs="Times New Roman"/>
          <w:b/>
          <w:bCs/>
        </w:rPr>
        <w:t>2.1结构概述</w:t>
      </w:r>
    </w:p>
    <w:p>
      <w:pPr>
        <w:spacing w:line="360" w:lineRule="auto"/>
        <w:ind w:left="560" w:firstLine="480"/>
        <w:rPr>
          <w:rFonts w:hint="eastAsia" w:ascii="楷体" w:hAnsi="楷体" w:cs="楷体"/>
        </w:rPr>
      </w:pPr>
      <w:r>
        <w:rPr>
          <w:rFonts w:hint="eastAsia" w:ascii="楷体" w:hAnsi="楷体" w:cs="楷体"/>
        </w:rPr>
        <w:t>参赛队需设计并制作一座上、下分层式单跨梁桥模型（含两个桥墩和一段上、下分层式桥梁）。模型需要模拟现实上下分层式梁桥结构，架设在组委会提供的“河岸”中间。加载时，通过在不同层级放置砝码模拟静载，通过牵引加重小车模拟移动活载，检验模型的竖向刚度、抗弯承载力及整体性。</w:t>
      </w:r>
    </w:p>
    <w:p>
      <w:pPr>
        <w:ind w:firstLine="0" w:firstLineChars="0"/>
        <w:rPr>
          <w:rFonts w:cs="Times New Roman"/>
          <w:b/>
          <w:bCs/>
        </w:rPr>
      </w:pPr>
      <w:r>
        <w:rPr>
          <w:rFonts w:cs="Times New Roman"/>
          <w:b/>
          <w:bCs/>
        </w:rPr>
        <w:t>2.2模型尺寸要求</w:t>
      </w:r>
    </w:p>
    <w:p>
      <w:pPr>
        <w:spacing w:line="360" w:lineRule="auto"/>
        <w:ind w:firstLine="480"/>
        <w:rPr>
          <w:rFonts w:cs="Times New Roman"/>
        </w:rPr>
      </w:pPr>
      <w:r>
        <w:rPr>
          <w:rFonts w:cs="Times New Roman"/>
        </w:rPr>
        <w:t>模型必须严格满足以下外部轮廓尺寸限制</w:t>
      </w:r>
      <w:r>
        <w:rPr>
          <w:rFonts w:hint="eastAsia" w:cs="Times New Roman"/>
        </w:rPr>
        <w:t>,模型立面图如图所示：</w:t>
      </w:r>
    </w:p>
    <w:p>
      <w:pPr>
        <w:pStyle w:val="44"/>
        <w:rPr>
          <w:rFonts w:hint="default"/>
        </w:rPr>
      </w:pPr>
      <w:r>
        <w:drawing>
          <wp:inline distT="0" distB="0" distL="114300" distR="114300">
            <wp:extent cx="4884420" cy="3121660"/>
            <wp:effectExtent l="0" t="0" r="1905" b="25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a:stretch>
                      <a:fillRect/>
                    </a:stretch>
                  </pic:blipFill>
                  <pic:spPr>
                    <a:xfrm>
                      <a:off x="0" y="0"/>
                      <a:ext cx="4884420" cy="3121660"/>
                    </a:xfrm>
                    <a:prstGeom prst="rect">
                      <a:avLst/>
                    </a:prstGeom>
                    <a:noFill/>
                    <a:ln>
                      <a:noFill/>
                    </a:ln>
                  </pic:spPr>
                </pic:pic>
              </a:graphicData>
            </a:graphic>
          </wp:inline>
        </w:drawing>
      </w:r>
    </w:p>
    <w:p>
      <w:pPr>
        <w:pStyle w:val="44"/>
        <w:rPr>
          <w:rFonts w:hint="default"/>
        </w:rPr>
      </w:pPr>
      <w:r>
        <w:t>图2.1 模型尺寸图</w:t>
      </w:r>
    </w:p>
    <w:p>
      <w:pPr>
        <w:ind w:firstLine="482"/>
        <w:rPr>
          <w:rFonts w:cs="Times New Roman"/>
          <w:b/>
          <w:bCs/>
        </w:rPr>
      </w:pPr>
      <w:r>
        <w:rPr>
          <w:rFonts w:hint="eastAsia" w:cs="Times New Roman"/>
          <w:b/>
          <w:bCs/>
        </w:rPr>
        <w:t>1）桥梁尺寸要求：</w:t>
      </w:r>
    </w:p>
    <w:p>
      <w:pPr>
        <w:spacing w:line="360" w:lineRule="auto"/>
        <w:ind w:firstLine="480"/>
        <w:rPr>
          <w:rFonts w:cs="Times New Roman"/>
        </w:rPr>
      </w:pPr>
      <w:r>
        <w:rPr>
          <w:rFonts w:cs="Times New Roman"/>
        </w:rPr>
        <w:t>长度：</w:t>
      </w:r>
      <w:r>
        <w:rPr>
          <w:rFonts w:hint="eastAsia" w:cs="Times New Roman"/>
        </w:rPr>
        <w:t>底部</w:t>
      </w:r>
      <w:r>
        <w:rPr>
          <w:rFonts w:cs="Times New Roman"/>
        </w:rPr>
        <w:t>纵向长度需</w:t>
      </w:r>
      <w:r>
        <w:rPr>
          <w:rFonts w:hint="eastAsia" w:cs="Times New Roman"/>
        </w:rPr>
        <w:t>控制</w:t>
      </w:r>
      <w:r>
        <w:rPr>
          <w:rFonts w:cs="Times New Roman"/>
        </w:rPr>
        <w:t>在</w:t>
      </w:r>
      <w:r>
        <w:rPr>
          <w:rFonts w:hint="eastAsia" w:cs="Times New Roman"/>
        </w:rPr>
        <w:t>650</w:t>
      </w:r>
      <w:r>
        <w:rPr>
          <w:rFonts w:cs="Times New Roman"/>
        </w:rPr>
        <w:t>mm</w:t>
      </w:r>
      <w:r>
        <w:rPr>
          <w:rFonts w:hint="eastAsia" w:cs="Times New Roman"/>
        </w:rPr>
        <w:t>，允许误差为</w:t>
      </w:r>
      <m:oMath>
        <m:r>
          <m:rPr/>
          <w:rPr>
            <w:rFonts w:ascii="Cambria Math" w:hAnsi="Cambria Math" w:cs="Times New Roman"/>
          </w:rPr>
          <m:t>±</m:t>
        </m:r>
      </m:oMath>
      <w:r>
        <w:rPr>
          <w:rFonts w:hint="eastAsia" w:hAnsi="Cambria Math" w:cs="Times New Roman"/>
        </w:rPr>
        <w:t>10mm</w:t>
      </w:r>
      <w:r>
        <w:rPr>
          <w:rFonts w:hint="eastAsia" w:cs="Times New Roman"/>
        </w:rPr>
        <w:t>；顶部纵向长度需控制在450mm，允许误差为</w:t>
      </w:r>
      <m:oMath>
        <m:r>
          <m:rPr/>
          <w:rPr>
            <w:rFonts w:ascii="Cambria Math" w:hAnsi="Cambria Math" w:cs="Times New Roman"/>
          </w:rPr>
          <m:t>±20</m:t>
        </m:r>
      </m:oMath>
      <w:r>
        <w:rPr>
          <w:rFonts w:hint="eastAsia" w:hAnsi="Cambria Math" w:cs="Times New Roman"/>
        </w:rPr>
        <w:t>mm</w:t>
      </w:r>
      <w:r>
        <w:rPr>
          <w:rFonts w:hint="eastAsia" w:cs="Times New Roman"/>
        </w:rPr>
        <w:t>；</w:t>
      </w:r>
    </w:p>
    <w:p>
      <w:pPr>
        <w:ind w:firstLine="480"/>
      </w:pPr>
      <w:r>
        <w:t>宽度：桥</w:t>
      </w:r>
      <w:r>
        <w:rPr>
          <w:rFonts w:hint="eastAsia"/>
        </w:rPr>
        <w:t>梁</w:t>
      </w:r>
      <w:r>
        <w:t>横向宽度需控制在</w:t>
      </w:r>
      <w:r>
        <w:rPr>
          <w:rFonts w:hint="eastAsia"/>
        </w:rPr>
        <w:t>220</w:t>
      </w:r>
      <w:r>
        <w:t>mm</w:t>
      </w:r>
      <w:r>
        <w:rPr>
          <w:rFonts w:hint="eastAsia"/>
        </w:rPr>
        <w:t>，允许误差为</w:t>
      </w:r>
      <m:oMath>
        <m:r>
          <m:rPr>
            <m:sty m:val="p"/>
          </m:rPr>
          <w:rPr>
            <w:rFonts w:ascii="Cambria Math" w:hAnsi="Cambria Math"/>
          </w:rPr>
          <m:t>±10</m:t>
        </m:r>
      </m:oMath>
      <w:r>
        <w:rPr>
          <w:rFonts w:hint="eastAsia"/>
        </w:rPr>
        <w:t>mm；</w:t>
      </w:r>
    </w:p>
    <w:p>
      <w:pPr>
        <w:spacing w:line="360" w:lineRule="auto"/>
        <w:ind w:firstLine="480"/>
        <w:rPr>
          <w:rFonts w:cs="Times New Roman"/>
        </w:rPr>
      </w:pPr>
      <w:r>
        <w:rPr>
          <w:rFonts w:cs="Times New Roman"/>
        </w:rPr>
        <w:t>高度：</w:t>
      </w:r>
      <w:r>
        <w:rPr>
          <w:rFonts w:hint="eastAsia" w:cs="Times New Roman"/>
        </w:rPr>
        <w:t>桥梁底面到顶面的高度需</w:t>
      </w:r>
      <w:r>
        <w:rPr>
          <w:rFonts w:cs="Times New Roman"/>
        </w:rPr>
        <w:t>控制在</w:t>
      </w:r>
      <w:r>
        <w:rPr>
          <w:rFonts w:hint="eastAsia" w:cs="Times New Roman"/>
        </w:rPr>
        <w:t>160</w:t>
      </w:r>
      <w:r>
        <w:rPr>
          <w:rFonts w:cs="Times New Roman"/>
        </w:rPr>
        <w:t>mm</w:t>
      </w:r>
      <w:r>
        <w:rPr>
          <w:rFonts w:hint="eastAsia" w:cs="Times New Roman"/>
        </w:rPr>
        <w:t>，允许误差为</w:t>
      </w:r>
      <m:oMath>
        <m:r>
          <m:rPr/>
          <w:rPr>
            <w:rFonts w:ascii="Cambria Math" w:hAnsi="Cambria Math" w:cs="Times New Roman"/>
          </w:rPr>
          <m:t>±10</m:t>
        </m:r>
      </m:oMath>
      <w:r>
        <w:rPr>
          <w:rFonts w:hint="eastAsia" w:hAnsi="Cambria Math" w:cs="Times New Roman"/>
        </w:rPr>
        <w:t>mm</w:t>
      </w:r>
      <w:r>
        <w:rPr>
          <w:rFonts w:hint="eastAsia" w:cs="Times New Roman"/>
        </w:rPr>
        <w:t>；</w:t>
      </w:r>
    </w:p>
    <w:p>
      <w:pPr>
        <w:ind w:firstLine="482"/>
        <w:rPr>
          <w:rFonts w:cs="Times New Roman"/>
          <w:b/>
          <w:bCs/>
        </w:rPr>
      </w:pPr>
      <w:r>
        <w:rPr>
          <w:rFonts w:hint="eastAsia" w:cs="Times New Roman"/>
          <w:b/>
          <w:bCs/>
        </w:rPr>
        <w:t>2）单个桥墩尺寸要求：</w:t>
      </w:r>
    </w:p>
    <w:p>
      <w:pPr>
        <w:spacing w:line="360" w:lineRule="auto"/>
        <w:ind w:firstLine="480"/>
        <w:rPr>
          <w:rFonts w:cs="Times New Roman"/>
        </w:rPr>
      </w:pPr>
      <w:r>
        <w:rPr>
          <w:rFonts w:hint="eastAsia" w:cs="Times New Roman"/>
        </w:rPr>
        <w:t>高度：桥墩高度需精确控制在200</w:t>
      </w:r>
      <m:oMath>
        <m:r>
          <m:rPr/>
          <w:rPr>
            <w:rFonts w:ascii="Cambria Math" w:hAnsi="Cambria Math" w:cs="Times New Roman"/>
          </w:rPr>
          <m:t>±</m:t>
        </m:r>
      </m:oMath>
      <w:r>
        <w:rPr>
          <w:rFonts w:hint="eastAsia" w:hAnsi="Cambria Math" w:cs="Times New Roman"/>
        </w:rPr>
        <w:t>5</w:t>
      </w:r>
      <w:r>
        <w:rPr>
          <w:rFonts w:hint="eastAsia" w:cs="Times New Roman"/>
        </w:rPr>
        <w:t>mm；</w:t>
      </w:r>
    </w:p>
    <w:p>
      <w:pPr>
        <w:spacing w:line="360" w:lineRule="auto"/>
        <w:ind w:firstLine="480"/>
        <w:rPr>
          <w:rFonts w:cs="Times New Roman"/>
        </w:rPr>
      </w:pPr>
      <w:r>
        <w:rPr>
          <w:rFonts w:hint="eastAsia" w:cs="Times New Roman"/>
        </w:rPr>
        <w:t>横向宽度小于桥梁横向宽度，且留足桥墩净空即可，桥墩形式可自由发挥。</w:t>
      </w:r>
    </w:p>
    <w:p>
      <w:pPr>
        <w:ind w:firstLine="482"/>
        <w:rPr>
          <w:rFonts w:cs="Times New Roman"/>
          <w:b/>
          <w:bCs/>
        </w:rPr>
      </w:pPr>
      <w:r>
        <w:rPr>
          <w:rFonts w:hint="eastAsia" w:cs="Times New Roman"/>
          <w:b/>
          <w:bCs/>
        </w:rPr>
        <w:t>3）桥墩间位置尺寸要求：</w:t>
      </w:r>
    </w:p>
    <w:p>
      <w:pPr>
        <w:ind w:firstLine="480"/>
      </w:pPr>
      <w:r>
        <w:rPr>
          <w:rFonts w:hint="eastAsia"/>
        </w:rPr>
        <w:t>桥墩需紧贴组委会提供的“河岸”，即两桥墩纵向间隔最远面的距离需控制在</w:t>
      </w:r>
      <w:r>
        <w:rPr>
          <w:rFonts w:hint="eastAsia" w:cs="Times New Roman"/>
        </w:rPr>
        <w:t>650</w:t>
      </w:r>
      <w:r>
        <w:rPr>
          <w:rFonts w:cs="Times New Roman"/>
        </w:rPr>
        <w:t>mm</w:t>
      </w:r>
      <w:r>
        <w:rPr>
          <w:rFonts w:hint="eastAsia" w:cs="Times New Roman"/>
        </w:rPr>
        <w:t>，允许误差为</w:t>
      </w:r>
      <m:oMath>
        <m:r>
          <m:rPr/>
          <w:rPr>
            <w:rFonts w:ascii="Cambria Math" w:hAnsi="Cambria Math" w:cs="Times New Roman"/>
          </w:rPr>
          <m:t>±</m:t>
        </m:r>
      </m:oMath>
      <w:r>
        <w:rPr>
          <w:rFonts w:hint="eastAsia" w:hAnsi="Cambria Math" w:cs="Times New Roman"/>
        </w:rPr>
        <w:t>10mm</w:t>
      </w:r>
      <w:r>
        <w:rPr>
          <w:rFonts w:hint="eastAsia"/>
        </w:rPr>
        <w:t>。</w:t>
      </w:r>
    </w:p>
    <w:p>
      <w:pPr>
        <w:ind w:firstLine="482"/>
        <w:rPr>
          <w:rFonts w:cs="Times New Roman"/>
          <w:b/>
          <w:bCs/>
        </w:rPr>
      </w:pPr>
      <w:r>
        <w:rPr>
          <w:rFonts w:hint="eastAsia" w:cs="Times New Roman"/>
          <w:b/>
          <w:bCs/>
        </w:rPr>
        <w:t>4）梁桥及桥墩</w:t>
      </w:r>
      <w:r>
        <w:rPr>
          <w:rFonts w:cs="Times New Roman"/>
          <w:b/>
          <w:bCs/>
        </w:rPr>
        <w:t>净空要求：</w:t>
      </w:r>
    </w:p>
    <w:p>
      <w:pPr>
        <w:spacing w:line="360" w:lineRule="auto"/>
        <w:ind w:firstLine="480"/>
        <w:rPr>
          <w:rFonts w:cs="Times New Roman"/>
        </w:rPr>
      </w:pPr>
      <w:r>
        <w:rPr>
          <w:rFonts w:hint="eastAsia" w:cs="Times New Roman"/>
        </w:rPr>
        <w:t>上下两层桥面之间必须留出贯通的净空，净空尺寸不得小于长420mm×宽190mm×高100mm，净空范围内不得有任何构件阻挡。</w:t>
      </w:r>
    </w:p>
    <w:p>
      <w:pPr>
        <w:spacing w:line="360" w:lineRule="auto"/>
        <w:ind w:firstLine="480"/>
        <w:rPr>
          <w:rFonts w:cs="Times New Roman"/>
        </w:rPr>
      </w:pPr>
      <w:r>
        <w:rPr>
          <w:rFonts w:hint="eastAsia" w:cs="Times New Roman"/>
        </w:rPr>
        <w:t>两桥墩之间必须留出贯通的净空，净空尺寸不得小于长470mm×宽190mm×高90mm，净空范围内不得有任何构件阻挡。</w:t>
      </w:r>
    </w:p>
    <w:p>
      <w:pPr>
        <w:ind w:firstLine="482"/>
        <w:rPr>
          <w:rFonts w:cs="Times New Roman"/>
          <w:b/>
          <w:bCs/>
        </w:rPr>
      </w:pPr>
      <w:r>
        <w:rPr>
          <w:rFonts w:hint="eastAsia" w:cs="Times New Roman"/>
          <w:b/>
          <w:bCs/>
        </w:rPr>
        <w:t>5）相关注释：</w:t>
      </w:r>
    </w:p>
    <w:p>
      <w:pPr>
        <w:spacing w:line="360" w:lineRule="auto"/>
        <w:ind w:firstLine="480"/>
        <w:rPr>
          <w:rFonts w:cs="Times New Roman"/>
        </w:rPr>
      </w:pPr>
      <w:r>
        <w:rPr>
          <w:rFonts w:hint="eastAsia" w:cs="Times New Roman"/>
        </w:rPr>
        <w:t>梁桥净空测量方法：组委会将用长420mm×宽190mm×高100mm的纸箱从桥梁上下两层间的间隙塞入，若纸箱能全包入桥梁（即箱子四角需完全包入杆件构成的封闭空间内），即为净空合格。</w:t>
      </w:r>
    </w:p>
    <w:p>
      <w:pPr>
        <w:spacing w:line="360" w:lineRule="auto"/>
        <w:ind w:firstLine="480"/>
        <w:rPr>
          <w:rFonts w:cs="Times New Roman"/>
        </w:rPr>
      </w:pPr>
      <w:r>
        <w:rPr>
          <w:rFonts w:hint="eastAsia" w:cs="Times New Roman"/>
        </w:rPr>
        <w:t>桥梁横向、纵向尺寸检查方法：组委会现场测量，合规即可。</w:t>
      </w:r>
    </w:p>
    <w:p>
      <w:pPr>
        <w:spacing w:line="360" w:lineRule="auto"/>
        <w:ind w:firstLine="480"/>
        <w:rPr>
          <w:rFonts w:cs="Times New Roman"/>
        </w:rPr>
      </w:pPr>
      <w:r>
        <w:rPr>
          <w:rFonts w:hint="eastAsia" w:cs="Times New Roman"/>
        </w:rPr>
        <w:t>桥墩净空测量方法：组委会将用长470mm×宽190mm×高90mm的纸箱放入桥墩之间的空间，若纸箱能全包入桥墩内部空间，即为净空合格。</w:t>
      </w:r>
    </w:p>
    <w:p>
      <w:pPr>
        <w:spacing w:line="360" w:lineRule="auto"/>
        <w:ind w:firstLine="480"/>
        <w:rPr>
          <w:rFonts w:cs="Times New Roman"/>
        </w:rPr>
      </w:pPr>
      <w:r>
        <w:rPr>
          <w:rFonts w:hint="eastAsia" w:cs="Times New Roman"/>
        </w:rPr>
        <w:t>桥面要求：上、下两层桥面均需保持连续，且桥面纵坡控制在3.0%以内，确保小车能平稳通行。</w:t>
      </w:r>
    </w:p>
    <w:p>
      <w:pPr>
        <w:ind w:firstLine="0" w:firstLineChars="0"/>
        <w:rPr>
          <w:rFonts w:cs="Times New Roman"/>
          <w:b/>
          <w:bCs/>
        </w:rPr>
      </w:pPr>
      <w:r>
        <w:rPr>
          <w:rFonts w:cs="Times New Roman"/>
          <w:b/>
          <w:bCs/>
        </w:rPr>
        <w:t>2.3</w:t>
      </w:r>
      <w:r>
        <w:rPr>
          <w:rFonts w:hint="eastAsia" w:cs="Times New Roman"/>
          <w:b/>
          <w:bCs/>
        </w:rPr>
        <w:t>“河岸”与桥梁放置方式</w:t>
      </w:r>
    </w:p>
    <w:p>
      <w:pPr>
        <w:spacing w:line="360" w:lineRule="auto"/>
        <w:ind w:firstLine="480"/>
        <w:rPr>
          <w:rFonts w:cs="Times New Roman"/>
        </w:rPr>
      </w:pPr>
      <w:r>
        <w:rPr>
          <w:rFonts w:hint="eastAsia" w:cs="Times New Roman"/>
        </w:rPr>
        <w:t>“河岸”：由组委会统一提供“河岸”，“河岸”间距需控制在650</w:t>
      </w:r>
      <w:r>
        <w:rPr>
          <w:rFonts w:cs="Times New Roman"/>
        </w:rPr>
        <w:t>mm</w:t>
      </w:r>
      <w:r>
        <w:rPr>
          <w:rFonts w:hint="eastAsia" w:cs="Times New Roman"/>
        </w:rPr>
        <w:t>允许误差为</w:t>
      </w:r>
      <m:oMath>
        <m:r>
          <m:rPr/>
          <w:rPr>
            <w:rFonts w:ascii="Cambria Math" w:hAnsi="Cambria Math" w:cs="Times New Roman"/>
          </w:rPr>
          <m:t>±</m:t>
        </m:r>
      </m:oMath>
      <w:r>
        <w:rPr>
          <w:rFonts w:hint="eastAsia" w:hAnsi="Cambria Math" w:cs="Times New Roman"/>
        </w:rPr>
        <w:t>10mm</w:t>
      </w:r>
      <w:r>
        <w:rPr>
          <w:rFonts w:hint="eastAsia" w:cs="Times New Roman"/>
        </w:rPr>
        <w:t>范围内,河岸可伸缩，有利于选手放入模型如图所示：</w:t>
      </w:r>
    </w:p>
    <w:p>
      <w:pPr>
        <w:spacing w:line="360" w:lineRule="auto"/>
        <w:ind w:firstLine="480"/>
        <w:rPr>
          <w:rFonts w:cs="Times New Roman"/>
        </w:rPr>
      </w:pPr>
      <w:r>
        <w:rPr>
          <w:rFonts w:hint="eastAsia" w:cs="Times New Roman"/>
        </w:rPr>
        <w:t>放置：选手将模型放入“河岸槽”内，并移动可滑动一侧河岸，使模型卡入“河岸”如图所示：</w:t>
      </w:r>
    </w:p>
    <w:p>
      <w:pPr>
        <w:spacing w:line="360" w:lineRule="auto"/>
        <w:ind w:firstLine="0" w:firstLineChars="0"/>
        <w:jc w:val="center"/>
      </w:pPr>
      <w:r>
        <w:drawing>
          <wp:inline distT="0" distB="0" distL="114300" distR="114300">
            <wp:extent cx="4719320" cy="2153920"/>
            <wp:effectExtent l="0" t="0" r="5080" b="825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6"/>
                    <a:stretch>
                      <a:fillRect/>
                    </a:stretch>
                  </pic:blipFill>
                  <pic:spPr>
                    <a:xfrm>
                      <a:off x="0" y="0"/>
                      <a:ext cx="4719320" cy="2153920"/>
                    </a:xfrm>
                    <a:prstGeom prst="rect">
                      <a:avLst/>
                    </a:prstGeom>
                    <a:noFill/>
                    <a:ln>
                      <a:noFill/>
                    </a:ln>
                  </pic:spPr>
                </pic:pic>
              </a:graphicData>
            </a:graphic>
          </wp:inline>
        </w:drawing>
      </w:r>
    </w:p>
    <w:p>
      <w:pPr>
        <w:pStyle w:val="44"/>
        <w:rPr>
          <w:rFonts w:hint="default"/>
        </w:rPr>
      </w:pPr>
      <w:r>
        <w:t>图2.2 桥梁放置图</w:t>
      </w:r>
    </w:p>
    <w:p>
      <w:pPr>
        <w:ind w:firstLine="0" w:firstLineChars="0"/>
        <w:rPr>
          <w:rFonts w:cs="Times New Roman"/>
          <w:b/>
          <w:bCs/>
        </w:rPr>
      </w:pPr>
      <w:r>
        <w:rPr>
          <w:rFonts w:hint="eastAsia" w:cs="Times New Roman"/>
          <w:b/>
          <w:bCs/>
        </w:rPr>
        <w:t>2.4结构特别要求</w:t>
      </w:r>
    </w:p>
    <w:p>
      <w:pPr>
        <w:ind w:firstLine="480"/>
      </w:pPr>
      <w:r>
        <w:rPr>
          <w:rFonts w:hint="eastAsia"/>
        </w:rPr>
        <w:t>由于加载过程需进行挠度测量，故选手模型必须在挠度系绳点具有可系绳的结构。</w:t>
      </w:r>
    </w:p>
    <w:p>
      <w:pPr>
        <w:pStyle w:val="44"/>
        <w:rPr>
          <w:rFonts w:hint="default"/>
        </w:rPr>
      </w:pPr>
      <w:r>
        <w:drawing>
          <wp:inline distT="0" distB="0" distL="114300" distR="114300">
            <wp:extent cx="5268595" cy="2107565"/>
            <wp:effectExtent l="0" t="0" r="825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5268595" cy="2107565"/>
                    </a:xfrm>
                    <a:prstGeom prst="rect">
                      <a:avLst/>
                    </a:prstGeom>
                    <a:noFill/>
                    <a:ln>
                      <a:noFill/>
                    </a:ln>
                  </pic:spPr>
                </pic:pic>
              </a:graphicData>
            </a:graphic>
          </wp:inline>
        </w:drawing>
      </w:r>
    </w:p>
    <w:p>
      <w:pPr>
        <w:pStyle w:val="44"/>
        <w:rPr>
          <w:rFonts w:hint="default"/>
        </w:rPr>
      </w:pPr>
      <w:r>
        <w:t>图2.3 挠度系绳点示意图</w:t>
      </w:r>
    </w:p>
    <w:p>
      <w:pPr>
        <w:ind w:firstLine="0" w:firstLineChars="0"/>
        <w:rPr>
          <w:rFonts w:cs="Times New Roman"/>
          <w:b/>
          <w:bCs/>
        </w:rPr>
      </w:pPr>
      <w:r>
        <w:rPr>
          <w:rFonts w:cs="Times New Roman"/>
          <w:b/>
          <w:bCs/>
        </w:rPr>
        <w:t>3参赛要求</w:t>
      </w:r>
    </w:p>
    <w:p>
      <w:pPr>
        <w:spacing w:line="360" w:lineRule="auto"/>
        <w:ind w:firstLine="480"/>
        <w:rPr>
          <w:rFonts w:cs="Times New Roman"/>
        </w:rPr>
      </w:pPr>
      <w:r>
        <w:rPr>
          <w:rFonts w:cs="Times New Roman"/>
        </w:rPr>
        <w:t>参赛者为西南交通大学2026级本科生。每队由1-3名学生组成，每位参赛者限加入一支队伍。</w:t>
      </w:r>
    </w:p>
    <w:p>
      <w:pPr>
        <w:spacing w:line="360" w:lineRule="auto"/>
        <w:ind w:firstLine="480"/>
        <w:rPr>
          <w:rFonts w:cs="Times New Roman"/>
        </w:rPr>
      </w:pPr>
      <w:r>
        <w:rPr>
          <w:rFonts w:cs="Times New Roman"/>
        </w:rPr>
        <w:t>各队需为作品命名，限提交一份模型。</w:t>
      </w:r>
    </w:p>
    <w:p>
      <w:pPr>
        <w:spacing w:line="360" w:lineRule="auto"/>
        <w:ind w:firstLine="480"/>
        <w:rPr>
          <w:rFonts w:cs="Times New Roman"/>
        </w:rPr>
      </w:pPr>
      <w:r>
        <w:rPr>
          <w:rFonts w:cs="Times New Roman"/>
        </w:rPr>
        <w:t>领取材料时需缴纳50元现金押金，按时提交合格作品后退还。</w:t>
      </w:r>
    </w:p>
    <w:p>
      <w:pPr>
        <w:spacing w:line="360" w:lineRule="auto"/>
        <w:ind w:firstLine="480"/>
        <w:rPr>
          <w:rFonts w:cs="Times New Roman"/>
        </w:rPr>
      </w:pPr>
      <w:r>
        <w:rPr>
          <w:rFonts w:cs="Times New Roman"/>
        </w:rPr>
        <w:t>模型提交及加载迟到或缺席视为自动弃权。</w:t>
      </w:r>
    </w:p>
    <w:p>
      <w:pPr>
        <w:ind w:firstLine="0" w:firstLineChars="0"/>
        <w:rPr>
          <w:rFonts w:cs="Times New Roman"/>
          <w:b/>
          <w:bCs/>
        </w:rPr>
      </w:pPr>
      <w:r>
        <w:rPr>
          <w:rFonts w:cs="Times New Roman"/>
          <w:b/>
          <w:bCs/>
        </w:rPr>
        <w:t>4加载装置与工具</w:t>
      </w:r>
    </w:p>
    <w:p>
      <w:pPr>
        <w:spacing w:line="360" w:lineRule="auto"/>
        <w:ind w:firstLine="482"/>
        <w:rPr>
          <w:rFonts w:cs="Times New Roman"/>
        </w:rPr>
      </w:pPr>
      <w:r>
        <w:rPr>
          <w:rFonts w:cs="Times New Roman"/>
          <w:b/>
          <w:bCs/>
        </w:rPr>
        <w:t>加载系统：</w:t>
      </w:r>
      <w:r>
        <w:rPr>
          <w:rFonts w:cs="Times New Roman"/>
        </w:rPr>
        <w:t>包括</w:t>
      </w:r>
      <w:r>
        <w:rPr>
          <w:rFonts w:hint="eastAsia" w:cs="Times New Roman"/>
        </w:rPr>
        <w:t>“河岸”</w:t>
      </w:r>
      <w:r>
        <w:rPr>
          <w:rFonts w:cs="Times New Roman"/>
        </w:rPr>
        <w:t>、砝码（规格1-</w:t>
      </w:r>
      <w:r>
        <w:rPr>
          <w:rFonts w:hint="eastAsia" w:cs="Times New Roman"/>
        </w:rPr>
        <w:t>10</w:t>
      </w:r>
      <w:r>
        <w:rPr>
          <w:rFonts w:cs="Times New Roman"/>
        </w:rPr>
        <w:t>kg）、加重移动小车（组委会提供，自重</w:t>
      </w:r>
      <w:r>
        <w:rPr>
          <w:rFonts w:hint="eastAsia" w:cs="Times New Roman"/>
        </w:rPr>
        <w:t>2</w:t>
      </w:r>
      <w:r>
        <w:rPr>
          <w:rFonts w:cs="Times New Roman"/>
        </w:rPr>
        <w:t>kg，车内可加载砝码）</w:t>
      </w:r>
      <w:r>
        <w:rPr>
          <w:rFonts w:hint="eastAsia" w:cs="Times New Roman"/>
        </w:rPr>
        <w:t>、动加载轨道（1100mm×190mm）、预加载压力分散板、一级加载压力分散板、挠度传感器</w:t>
      </w:r>
      <w:r>
        <w:rPr>
          <w:rFonts w:cs="Times New Roman"/>
        </w:rPr>
        <w:t>。</w:t>
      </w:r>
    </w:p>
    <w:p>
      <w:pPr>
        <w:spacing w:line="360" w:lineRule="auto"/>
        <w:ind w:firstLine="480"/>
        <w:rPr>
          <w:rFonts w:cs="Times New Roman"/>
        </w:rPr>
      </w:pPr>
      <w:r>
        <w:rPr>
          <w:rFonts w:hint="eastAsia" w:cs="Times New Roman"/>
        </w:rPr>
        <w:t>部分加载装置和工具附图如下：</w:t>
      </w:r>
    </w:p>
    <w:p>
      <w:pPr>
        <w:spacing w:line="360" w:lineRule="auto"/>
        <w:ind w:firstLine="0" w:firstLineChars="0"/>
        <w:jc w:val="center"/>
        <w:rPr>
          <w:rFonts w:hint="eastAsia" w:ascii="宋体" w:hAnsi="宋体" w:eastAsia="宋体" w:cs="宋体"/>
        </w:rPr>
      </w:pPr>
      <w:r>
        <w:rPr>
          <w:rFonts w:ascii="宋体" w:hAnsi="宋体" w:eastAsia="宋体" w:cs="宋体"/>
        </w:rPr>
        <w:drawing>
          <wp:inline distT="0" distB="0" distL="114300" distR="114300">
            <wp:extent cx="2623185" cy="1967865"/>
            <wp:effectExtent l="0" t="0" r="5715" b="3810"/>
            <wp:docPr id="1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IMG_256"/>
                    <pic:cNvPicPr>
                      <a:picLocks noChangeAspect="1"/>
                    </pic:cNvPicPr>
                  </pic:nvPicPr>
                  <pic:blipFill>
                    <a:blip r:embed="rId18"/>
                    <a:stretch>
                      <a:fillRect/>
                    </a:stretch>
                  </pic:blipFill>
                  <pic:spPr>
                    <a:xfrm>
                      <a:off x="0" y="0"/>
                      <a:ext cx="2623185" cy="1967865"/>
                    </a:xfrm>
                    <a:prstGeom prst="rect">
                      <a:avLst/>
                    </a:prstGeom>
                    <a:noFill/>
                    <a:ln w="9525">
                      <a:noFill/>
                    </a:ln>
                  </pic:spPr>
                </pic:pic>
              </a:graphicData>
            </a:graphic>
          </wp:inline>
        </w:drawing>
      </w:r>
    </w:p>
    <w:p>
      <w:pPr>
        <w:pStyle w:val="44"/>
        <w:rPr>
          <w:rFonts w:hint="default"/>
        </w:rPr>
      </w:pPr>
      <w:r>
        <w:t>图4.1 小车尺寸图</w:t>
      </w:r>
    </w:p>
    <w:p>
      <w:pPr>
        <w:pStyle w:val="44"/>
        <w:rPr>
          <w:rFonts w:hint="default"/>
        </w:rPr>
      </w:pPr>
      <w:r>
        <w:drawing>
          <wp:inline distT="0" distB="0" distL="114300" distR="114300">
            <wp:extent cx="4502150" cy="2404110"/>
            <wp:effectExtent l="0" t="0" r="3175" b="571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9"/>
                    <a:stretch>
                      <a:fillRect/>
                    </a:stretch>
                  </pic:blipFill>
                  <pic:spPr>
                    <a:xfrm>
                      <a:off x="0" y="0"/>
                      <a:ext cx="4502150" cy="2404110"/>
                    </a:xfrm>
                    <a:prstGeom prst="rect">
                      <a:avLst/>
                    </a:prstGeom>
                    <a:noFill/>
                    <a:ln>
                      <a:noFill/>
                    </a:ln>
                  </pic:spPr>
                </pic:pic>
              </a:graphicData>
            </a:graphic>
          </wp:inline>
        </w:drawing>
      </w:r>
    </w:p>
    <w:p>
      <w:pPr>
        <w:pStyle w:val="44"/>
        <w:rPr>
          <w:rFonts w:hint="default"/>
        </w:rPr>
      </w:pPr>
      <w:r>
        <w:t>图4.2 预加载压力分散板（单位为：mm）</w:t>
      </w:r>
    </w:p>
    <w:p>
      <w:pPr>
        <w:pStyle w:val="44"/>
        <w:rPr>
          <w:rFonts w:hint="default"/>
        </w:rPr>
      </w:pPr>
      <w:r>
        <w:drawing>
          <wp:inline distT="0" distB="0" distL="114300" distR="114300">
            <wp:extent cx="4514850" cy="2564130"/>
            <wp:effectExtent l="0" t="0" r="0" b="762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0"/>
                    <a:stretch>
                      <a:fillRect/>
                    </a:stretch>
                  </pic:blipFill>
                  <pic:spPr>
                    <a:xfrm>
                      <a:off x="0" y="0"/>
                      <a:ext cx="4528264" cy="2572121"/>
                    </a:xfrm>
                    <a:prstGeom prst="rect">
                      <a:avLst/>
                    </a:prstGeom>
                    <a:noFill/>
                    <a:ln>
                      <a:noFill/>
                    </a:ln>
                  </pic:spPr>
                </pic:pic>
              </a:graphicData>
            </a:graphic>
          </wp:inline>
        </w:drawing>
      </w:r>
    </w:p>
    <w:p>
      <w:pPr>
        <w:pStyle w:val="44"/>
        <w:rPr>
          <w:rFonts w:hint="default"/>
        </w:rPr>
      </w:pPr>
      <w:r>
        <w:t>图4.3 一级加载压力分散板（单位为：mm）</w:t>
      </w:r>
    </w:p>
    <w:p>
      <w:pPr>
        <w:spacing w:line="360" w:lineRule="auto"/>
        <w:ind w:firstLine="482"/>
        <w:rPr>
          <w:rFonts w:cs="Times New Roman"/>
        </w:rPr>
      </w:pPr>
      <w:r>
        <w:rPr>
          <w:rFonts w:cs="Times New Roman"/>
          <w:b/>
          <w:bCs/>
        </w:rPr>
        <w:t>制作工具：</w:t>
      </w:r>
      <w:r>
        <w:rPr>
          <w:rFonts w:cs="Times New Roman"/>
        </w:rPr>
        <w:t>剪刀、美工刀、直尺、铅笔、橡皮等基础工具由选手自备。组委会仅提供材料，不提供工具。</w:t>
      </w:r>
    </w:p>
    <w:p>
      <w:pPr>
        <w:ind w:firstLine="0" w:firstLineChars="0"/>
        <w:rPr>
          <w:rFonts w:cs="Times New Roman"/>
          <w:b/>
          <w:bCs/>
        </w:rPr>
      </w:pPr>
      <w:r>
        <w:rPr>
          <w:rFonts w:cs="Times New Roman"/>
          <w:b/>
          <w:bCs/>
        </w:rPr>
        <w:t>5</w:t>
      </w:r>
      <w:r>
        <w:rPr>
          <w:rFonts w:hint="eastAsia" w:cs="Times New Roman"/>
          <w:b/>
          <w:bCs/>
        </w:rPr>
        <w:t>提交材料</w:t>
      </w:r>
    </w:p>
    <w:p>
      <w:pPr>
        <w:ind w:firstLine="0" w:firstLineChars="0"/>
        <w:rPr>
          <w:rFonts w:cs="Times New Roman"/>
          <w:b/>
          <w:bCs/>
        </w:rPr>
      </w:pPr>
      <w:r>
        <w:rPr>
          <w:rFonts w:hint="eastAsia" w:cs="Times New Roman"/>
          <w:b/>
          <w:bCs/>
        </w:rPr>
        <w:t>5.1理论方案</w:t>
      </w:r>
    </w:p>
    <w:p>
      <w:pPr>
        <w:spacing w:line="360" w:lineRule="auto"/>
        <w:ind w:firstLine="482"/>
        <w:rPr>
          <w:rFonts w:cs="Times New Roman"/>
          <w:highlight w:val="yellow"/>
        </w:rPr>
      </w:pPr>
      <w:r>
        <w:rPr>
          <w:rFonts w:cs="Times New Roman"/>
          <w:b/>
          <w:bCs/>
        </w:rPr>
        <w:t>内容：</w:t>
      </w:r>
      <w:r>
        <w:rPr>
          <w:rFonts w:cs="Times New Roman"/>
        </w:rPr>
        <w:t>包括</w:t>
      </w:r>
      <w:r>
        <w:rPr>
          <w:rFonts w:hint="eastAsia" w:cs="Times New Roman"/>
        </w:rPr>
        <w:t>模型</w:t>
      </w:r>
      <w:r>
        <w:rPr>
          <w:rFonts w:cs="Times New Roman"/>
        </w:rPr>
        <w:t>方案图（结构图、节点详图）</w:t>
      </w:r>
      <w:r>
        <w:rPr>
          <w:rFonts w:hint="eastAsia" w:cs="Times New Roman"/>
        </w:rPr>
        <w:t>、必要</w:t>
      </w:r>
      <w:r>
        <w:rPr>
          <w:rFonts w:cs="Times New Roman"/>
        </w:rPr>
        <w:t>的结构分析（如简支梁弯矩分布概念、上下层受弯协同工作原理、失稳模态预判等）。</w:t>
      </w:r>
    </w:p>
    <w:p>
      <w:pPr>
        <w:spacing w:line="360" w:lineRule="auto"/>
        <w:ind w:firstLine="482"/>
        <w:rPr>
          <w:rFonts w:cs="Times New Roman"/>
          <w:highlight w:val="yellow"/>
        </w:rPr>
      </w:pPr>
      <w:r>
        <w:rPr>
          <w:rFonts w:cs="Times New Roman"/>
          <w:b/>
          <w:bCs/>
        </w:rPr>
        <w:t>格式：</w:t>
      </w:r>
      <w:r>
        <w:rPr>
          <w:rFonts w:cs="Times New Roman"/>
        </w:rPr>
        <w:t>标题居中二号宋体，正文四号正楷，A4纸打印，封面注明队名、作品名称、队员姓名及学号。</w:t>
      </w:r>
      <w:r>
        <w:rPr>
          <w:rFonts w:hint="eastAsia" w:cs="Times New Roman"/>
        </w:rPr>
        <w:t>（封面模板见附件1）</w:t>
      </w:r>
    </w:p>
    <w:p>
      <w:pPr>
        <w:spacing w:line="360" w:lineRule="auto"/>
        <w:ind w:firstLine="482"/>
        <w:rPr>
          <w:rFonts w:cs="Times New Roman"/>
        </w:rPr>
      </w:pPr>
      <w:r>
        <w:rPr>
          <w:rFonts w:cs="Times New Roman"/>
          <w:b/>
          <w:bCs/>
        </w:rPr>
        <w:t>提交：</w:t>
      </w:r>
      <w:r>
        <w:rPr>
          <w:rFonts w:cs="Times New Roman"/>
        </w:rPr>
        <w:t>线上提交电子版</w:t>
      </w:r>
      <w:r>
        <w:rPr>
          <w:rFonts w:hint="eastAsia" w:cs="Times New Roman"/>
        </w:rPr>
        <w:t>（将在提交模型前通知提交，具体时间由组委会另行通知）</w:t>
      </w:r>
      <w:r>
        <w:rPr>
          <w:rFonts w:cs="Times New Roman"/>
        </w:rPr>
        <w:t>、比赛当日现场提交纸质版给评委。</w:t>
      </w:r>
    </w:p>
    <w:p>
      <w:pPr>
        <w:ind w:firstLine="0" w:firstLineChars="0"/>
        <w:rPr>
          <w:rFonts w:cs="Times New Roman"/>
          <w:b/>
          <w:bCs/>
        </w:rPr>
      </w:pPr>
      <w:r>
        <w:rPr>
          <w:rFonts w:hint="eastAsia" w:cs="Times New Roman"/>
          <w:b/>
          <w:bCs/>
        </w:rPr>
        <w:t>5.2模型陈述视频</w:t>
      </w:r>
    </w:p>
    <w:p>
      <w:pPr>
        <w:spacing w:line="360" w:lineRule="auto"/>
        <w:ind w:firstLine="482"/>
        <w:rPr>
          <w:rFonts w:cs="Times New Roman"/>
        </w:rPr>
      </w:pPr>
      <w:r>
        <w:rPr>
          <w:rFonts w:hint="eastAsia" w:cs="Times New Roman"/>
          <w:b/>
          <w:bCs/>
        </w:rPr>
        <w:t>时长：</w:t>
      </w:r>
      <w:r>
        <w:rPr>
          <w:rFonts w:hint="eastAsia" w:cs="Times New Roman"/>
        </w:rPr>
        <w:t>不超过3分钟，超时则将在陈述答辩分中扣2分。</w:t>
      </w:r>
    </w:p>
    <w:p>
      <w:pPr>
        <w:spacing w:line="360" w:lineRule="auto"/>
        <w:ind w:firstLine="482"/>
        <w:rPr>
          <w:rFonts w:cs="Times New Roman"/>
        </w:rPr>
      </w:pPr>
      <w:r>
        <w:rPr>
          <w:rFonts w:hint="eastAsia" w:cs="Times New Roman"/>
          <w:b/>
          <w:bCs/>
        </w:rPr>
        <w:t>内容：</w:t>
      </w:r>
      <w:r>
        <w:rPr>
          <w:rFonts w:hint="eastAsia" w:cs="Times New Roman"/>
        </w:rPr>
        <w:t>模型结构陈述、团队创新点、制作过程视频。</w:t>
      </w:r>
    </w:p>
    <w:p>
      <w:pPr>
        <w:ind w:firstLine="0" w:firstLineChars="0"/>
        <w:rPr>
          <w:rFonts w:cs="Times New Roman"/>
          <w:b/>
          <w:bCs/>
        </w:rPr>
      </w:pPr>
      <w:r>
        <w:rPr>
          <w:rFonts w:cs="Times New Roman"/>
          <w:b/>
          <w:bCs/>
        </w:rPr>
        <w:t>6模型制作要求</w:t>
      </w:r>
    </w:p>
    <w:p>
      <w:pPr>
        <w:ind w:firstLine="0" w:firstLineChars="0"/>
        <w:rPr>
          <w:rFonts w:cs="Times New Roman"/>
          <w:b/>
          <w:bCs/>
        </w:rPr>
      </w:pPr>
      <w:r>
        <w:rPr>
          <w:rFonts w:cs="Times New Roman"/>
          <w:b/>
          <w:bCs/>
        </w:rPr>
        <w:t>6.1材料</w:t>
      </w:r>
    </w:p>
    <w:p>
      <w:pPr>
        <w:ind w:firstLine="0" w:firstLineChars="0"/>
        <w:rPr>
          <w:rFonts w:cs="Times New Roman"/>
          <w:b/>
          <w:bCs/>
        </w:rPr>
      </w:pPr>
      <w:r>
        <w:rPr>
          <w:rFonts w:hint="eastAsia" w:cs="Times New Roman"/>
          <w:b/>
          <w:bCs/>
        </w:rPr>
        <w:t xml:space="preserve">    竞赛期间，承办方为各队提供如下材料用于模型制作</w:t>
      </w:r>
    </w:p>
    <w:p>
      <w:pPr>
        <w:spacing w:line="360" w:lineRule="auto"/>
        <w:ind w:firstLine="482"/>
        <w:rPr>
          <w:rFonts w:cs="Times New Roman"/>
        </w:rPr>
      </w:pPr>
      <w:r>
        <w:rPr>
          <w:rFonts w:hint="eastAsia" w:cs="Times New Roman"/>
          <w:b/>
          <w:bCs/>
        </w:rPr>
        <w:t>（1）</w:t>
      </w:r>
      <w:r>
        <w:rPr>
          <w:rFonts w:hint="eastAsia" w:cs="Times New Roman"/>
        </w:rPr>
        <w:t>全开白卡纸</w:t>
      </w:r>
      <w:r>
        <w:rPr>
          <w:rFonts w:cs="Times New Roman"/>
        </w:rPr>
        <w:t>：</w:t>
      </w:r>
      <w:r>
        <w:rPr>
          <w:rFonts w:hint="eastAsia" w:cs="Times New Roman"/>
        </w:rPr>
        <w:t>规格为</w:t>
      </w:r>
      <w:r>
        <w:rPr>
          <w:rFonts w:cs="Times New Roman"/>
        </w:rPr>
        <w:t>787mm×1092mm</w:t>
      </w:r>
      <w:r>
        <w:rPr>
          <w:rFonts w:hint="eastAsia" w:cs="Times New Roman"/>
        </w:rPr>
        <w:t>、25</w:t>
      </w:r>
      <w:r>
        <w:rPr>
          <w:rFonts w:cs="Times New Roman"/>
        </w:rPr>
        <w:t>0g，每组限领</w:t>
      </w:r>
      <w:r>
        <w:rPr>
          <w:rFonts w:hint="eastAsia" w:cs="Times New Roman"/>
        </w:rPr>
        <w:t>3</w:t>
      </w:r>
      <w:r>
        <w:rPr>
          <w:rFonts w:cs="Times New Roman"/>
        </w:rPr>
        <w:t>张，超出需自费购买。</w:t>
      </w:r>
      <w:r>
        <w:rPr>
          <w:rFonts w:hint="eastAsia" w:cs="Times New Roman"/>
        </w:rPr>
        <w:t>（组委会提供专业材料购买链接）</w:t>
      </w:r>
    </w:p>
    <w:p>
      <w:pPr>
        <w:spacing w:line="360" w:lineRule="auto"/>
        <w:ind w:firstLine="482"/>
        <w:rPr>
          <w:rFonts w:cs="Times New Roman"/>
        </w:rPr>
      </w:pPr>
      <w:r>
        <w:rPr>
          <w:rFonts w:hint="eastAsia" w:cs="Times New Roman"/>
          <w:b/>
          <w:bCs/>
        </w:rPr>
        <w:t>（2）</w:t>
      </w:r>
      <w:r>
        <w:rPr>
          <w:rFonts w:hint="eastAsia" w:cs="Times New Roman"/>
        </w:rPr>
        <w:t>白乳胶</w:t>
      </w:r>
      <w:r>
        <w:rPr>
          <w:rFonts w:cs="Times New Roman"/>
          <w:b/>
          <w:bCs/>
        </w:rPr>
        <w:t>：</w:t>
      </w:r>
      <w:r>
        <w:rPr>
          <w:rFonts w:hint="eastAsia" w:cs="Times New Roman"/>
        </w:rPr>
        <w:t>用于模型结构构件之间的连接固定</w:t>
      </w:r>
      <w:r>
        <w:rPr>
          <w:rFonts w:cs="Times New Roman"/>
        </w:rPr>
        <w:t>，每组限领</w:t>
      </w:r>
      <w:r>
        <w:rPr>
          <w:rFonts w:hint="eastAsia" w:cs="Times New Roman"/>
        </w:rPr>
        <w:t>2</w:t>
      </w:r>
      <w:r>
        <w:rPr>
          <w:rFonts w:cs="Times New Roman"/>
        </w:rPr>
        <w:t>瓶</w:t>
      </w:r>
      <w:r>
        <w:rPr>
          <w:rFonts w:hint="eastAsia" w:cs="Times New Roman"/>
        </w:rPr>
        <w:t>白乳胶</w:t>
      </w:r>
      <w:r>
        <w:rPr>
          <w:rFonts w:cs="Times New Roman"/>
        </w:rPr>
        <w:t>，严禁使用透明胶带、双面胶、纤维布等其他材料。</w:t>
      </w:r>
    </w:p>
    <w:p>
      <w:pPr>
        <w:spacing w:line="360" w:lineRule="auto"/>
        <w:ind w:firstLine="482"/>
        <w:rPr>
          <w:rFonts w:cs="Times New Roman"/>
        </w:rPr>
      </w:pPr>
      <w:r>
        <w:rPr>
          <w:rFonts w:cs="Times New Roman"/>
          <w:b/>
          <w:bCs/>
        </w:rPr>
        <w:t>违规处罚：</w:t>
      </w:r>
      <w:r>
        <w:rPr>
          <w:rFonts w:cs="Times New Roman"/>
        </w:rPr>
        <w:t>一经发现使用违禁材料，直接取消参赛资格。加载结束后组委会保留破拆模型复查材料的权利。</w:t>
      </w:r>
    </w:p>
    <w:p>
      <w:pPr>
        <w:ind w:firstLine="0" w:firstLineChars="0"/>
        <w:rPr>
          <w:rFonts w:cs="Times New Roman"/>
          <w:b/>
          <w:bCs/>
        </w:rPr>
      </w:pPr>
      <w:r>
        <w:rPr>
          <w:rFonts w:cs="Times New Roman"/>
          <w:b/>
          <w:bCs/>
        </w:rPr>
        <w:t xml:space="preserve">6.2质量与工艺 </w:t>
      </w:r>
    </w:p>
    <w:p>
      <w:pPr>
        <w:spacing w:line="360" w:lineRule="auto"/>
        <w:ind w:firstLine="480"/>
        <w:rPr>
          <w:rFonts w:cs="Times New Roman"/>
        </w:rPr>
      </w:pPr>
      <w:r>
        <w:rPr>
          <w:rFonts w:cs="Times New Roman"/>
        </w:rPr>
        <w:t>模型总质量不得大于</w:t>
      </w:r>
      <w:r>
        <w:rPr>
          <w:rFonts w:hint="eastAsia" w:cs="Times New Roman"/>
        </w:rPr>
        <w:t>600</w:t>
      </w:r>
      <w:r>
        <w:rPr>
          <w:rFonts w:cs="Times New Roman"/>
        </w:rPr>
        <w:t>g。</w:t>
      </w:r>
    </w:p>
    <w:p>
      <w:pPr>
        <w:spacing w:line="360" w:lineRule="auto"/>
        <w:ind w:firstLine="480"/>
        <w:rPr>
          <w:rFonts w:cs="Times New Roman"/>
        </w:rPr>
      </w:pPr>
      <w:r>
        <w:rPr>
          <w:rFonts w:cs="Times New Roman"/>
        </w:rPr>
        <w:t>模型制作需体现基本的力学逻辑，禁止单纯堆料</w:t>
      </w:r>
      <w:r>
        <w:rPr>
          <w:rFonts w:hint="eastAsia" w:cs="Times New Roman"/>
        </w:rPr>
        <w:t>，超重或不满足力学逻辑的模型淘汰。</w:t>
      </w:r>
    </w:p>
    <w:p>
      <w:pPr>
        <w:ind w:firstLine="0" w:firstLineChars="0"/>
        <w:rPr>
          <w:rFonts w:cs="Times New Roman"/>
          <w:b/>
          <w:bCs/>
        </w:rPr>
      </w:pPr>
      <w:r>
        <w:rPr>
          <w:rFonts w:cs="Times New Roman"/>
          <w:b/>
          <w:bCs/>
        </w:rPr>
        <w:t xml:space="preserve">7比赛流程与加载规则 </w:t>
      </w:r>
    </w:p>
    <w:p>
      <w:pPr>
        <w:spacing w:line="360" w:lineRule="auto"/>
        <w:ind w:firstLine="480"/>
        <w:rPr>
          <w:rFonts w:cs="Times New Roman"/>
        </w:rPr>
      </w:pPr>
      <w:r>
        <w:rPr>
          <w:rFonts w:cs="Times New Roman"/>
        </w:rPr>
        <w:t>比赛分为模型提交校验、</w:t>
      </w:r>
      <w:r>
        <w:rPr>
          <w:rFonts w:hint="eastAsia" w:cs="Times New Roman"/>
        </w:rPr>
        <w:t>预加载、</w:t>
      </w:r>
      <w:r>
        <w:rPr>
          <w:rFonts w:cs="Times New Roman"/>
        </w:rPr>
        <w:t>分级加载、答辩三个阶段。</w:t>
      </w:r>
      <w:r>
        <w:rPr>
          <w:rFonts w:hint="eastAsia" w:cs="Times New Roman"/>
        </w:rPr>
        <w:t>（各阶段的具体时间由组委会统一通知。）</w:t>
      </w:r>
    </w:p>
    <w:p>
      <w:pPr>
        <w:spacing w:line="360" w:lineRule="auto"/>
        <w:ind w:firstLine="0" w:firstLineChars="0"/>
        <w:rPr>
          <w:rFonts w:cs="Times New Roman"/>
          <w:b/>
          <w:bCs/>
        </w:rPr>
      </w:pPr>
      <w:r>
        <w:rPr>
          <w:rFonts w:cs="Times New Roman"/>
          <w:b/>
          <w:bCs/>
        </w:rPr>
        <w:t>7.1</w:t>
      </w:r>
      <w:r>
        <w:rPr>
          <w:rFonts w:hint="eastAsia" w:cs="Times New Roman"/>
          <w:b/>
          <w:bCs/>
        </w:rPr>
        <w:t>安全保护措施</w:t>
      </w:r>
    </w:p>
    <w:p>
      <w:pPr>
        <w:spacing w:line="360" w:lineRule="auto"/>
        <w:ind w:firstLine="480"/>
        <w:rPr>
          <w:rFonts w:cs="Times New Roman"/>
        </w:rPr>
      </w:pPr>
      <w:r>
        <w:rPr>
          <w:rFonts w:hint="eastAsia" w:cs="Times New Roman"/>
        </w:rPr>
        <w:t>（1）参赛队员应有牢固的安全意识。在加载过程中，当预感模型即将垮塌时，应迅速避开，避免砸伤。（现场提供劳保手套和安全帽，选手可自行选择是否使用。）</w:t>
      </w:r>
    </w:p>
    <w:p>
      <w:pPr>
        <w:spacing w:line="360" w:lineRule="auto"/>
        <w:ind w:firstLine="480"/>
        <w:rPr>
          <w:rFonts w:cs="Times New Roman"/>
        </w:rPr>
      </w:pPr>
      <w:r>
        <w:rPr>
          <w:rFonts w:hint="eastAsia" w:cs="Times New Roman"/>
        </w:rPr>
        <w:t>（2）在加载的地面区域须铺垫缓冲隔离层材料，以免砝码坠落砸坏地面。</w:t>
      </w:r>
    </w:p>
    <w:p>
      <w:pPr>
        <w:ind w:firstLine="0" w:firstLineChars="0"/>
        <w:rPr>
          <w:rFonts w:cs="Times New Roman"/>
          <w:b/>
          <w:bCs/>
        </w:rPr>
      </w:pPr>
      <w:r>
        <w:rPr>
          <w:rFonts w:cs="Times New Roman"/>
          <w:b/>
          <w:bCs/>
        </w:rPr>
        <w:t>7.</w:t>
      </w:r>
      <w:r>
        <w:rPr>
          <w:rFonts w:hint="eastAsia" w:cs="Times New Roman"/>
          <w:b/>
          <w:bCs/>
        </w:rPr>
        <w:t>2</w:t>
      </w:r>
      <w:r>
        <w:rPr>
          <w:rFonts w:cs="Times New Roman"/>
          <w:b/>
          <w:bCs/>
        </w:rPr>
        <w:t xml:space="preserve">模型提交与校验 </w:t>
      </w:r>
    </w:p>
    <w:p>
      <w:pPr>
        <w:spacing w:line="360" w:lineRule="auto"/>
        <w:ind w:firstLine="482"/>
        <w:rPr>
          <w:rFonts w:cs="Times New Roman"/>
        </w:rPr>
      </w:pPr>
      <w:r>
        <w:rPr>
          <w:rFonts w:cs="Times New Roman"/>
          <w:b/>
          <w:bCs/>
        </w:rPr>
        <w:t>尺寸检查：</w:t>
      </w:r>
      <w:r>
        <w:rPr>
          <w:rFonts w:cs="Times New Roman"/>
        </w:rPr>
        <w:t>测量总长、总宽及净空尺寸。不合格者</w:t>
      </w:r>
      <w:r>
        <w:rPr>
          <w:rFonts w:hint="eastAsia" w:cs="Times New Roman"/>
        </w:rPr>
        <w:t>淘汰。</w:t>
      </w:r>
    </w:p>
    <w:p>
      <w:pPr>
        <w:spacing w:line="360" w:lineRule="auto"/>
        <w:ind w:firstLine="482"/>
        <w:rPr>
          <w:rFonts w:cs="Times New Roman"/>
        </w:rPr>
      </w:pPr>
      <w:r>
        <w:rPr>
          <w:rFonts w:cs="Times New Roman"/>
          <w:b/>
          <w:bCs/>
        </w:rPr>
        <w:t>材料检查：</w:t>
      </w:r>
      <w:r>
        <w:rPr>
          <w:rFonts w:cs="Times New Roman"/>
        </w:rPr>
        <w:t>目视检查是否存在违规材料。（比赛结束后</w:t>
      </w:r>
      <w:r>
        <w:rPr>
          <w:rFonts w:hint="eastAsia" w:cs="Times New Roman"/>
        </w:rPr>
        <w:t>，组委会将抽签决定抽检对象，</w:t>
      </w:r>
      <w:r>
        <w:rPr>
          <w:rFonts w:cs="Times New Roman"/>
        </w:rPr>
        <w:t>破开</w:t>
      </w:r>
      <w:r>
        <w:rPr>
          <w:rFonts w:hint="eastAsia" w:cs="Times New Roman"/>
        </w:rPr>
        <w:t>其</w:t>
      </w:r>
      <w:r>
        <w:rPr>
          <w:rFonts w:cs="Times New Roman"/>
        </w:rPr>
        <w:t>模型</w:t>
      </w:r>
      <w:r>
        <w:rPr>
          <w:rFonts w:hint="eastAsia" w:cs="Times New Roman"/>
        </w:rPr>
        <w:t>进行</w:t>
      </w:r>
      <w:r>
        <w:rPr>
          <w:rFonts w:cs="Times New Roman"/>
        </w:rPr>
        <w:t>检查，如有违规者获奖，撤销获奖资格</w:t>
      </w:r>
      <w:r>
        <w:rPr>
          <w:rFonts w:hint="eastAsia" w:cs="Times New Roman"/>
        </w:rPr>
        <w:t>。</w:t>
      </w:r>
      <w:r>
        <w:rPr>
          <w:rFonts w:cs="Times New Roman"/>
        </w:rPr>
        <w:t>）</w:t>
      </w:r>
    </w:p>
    <w:p>
      <w:pPr>
        <w:spacing w:line="360" w:lineRule="auto"/>
        <w:ind w:firstLine="482"/>
        <w:rPr>
          <w:rFonts w:cs="Times New Roman"/>
        </w:rPr>
      </w:pPr>
      <w:r>
        <w:rPr>
          <w:rFonts w:cs="Times New Roman"/>
          <w:b/>
          <w:bCs/>
        </w:rPr>
        <w:t>称重：</w:t>
      </w:r>
      <w:r>
        <w:rPr>
          <w:rFonts w:cs="Times New Roman"/>
        </w:rPr>
        <w:t>精确称量模型总质量</w:t>
      </w:r>
      <m:oMath>
        <m:sSub>
          <m:sSubPr>
            <m:ctrlPr>
              <w:rPr>
                <w:rFonts w:ascii="Cambria Math" w:hAnsi="Cambria Math" w:cs="Times New Roman"/>
              </w:rPr>
            </m:ctrlPr>
          </m:sSubPr>
          <m:e>
            <m:r>
              <m:rPr>
                <m:sty m:val="p"/>
              </m:rPr>
              <w:rPr>
                <w:rFonts w:ascii="Cambria Math" w:hAnsi="Cambria Math" w:cs="Times New Roman"/>
              </w:rPr>
              <m:t>m</m:t>
            </m:r>
            <m:ctrlPr>
              <w:rPr>
                <w:rFonts w:ascii="Cambria Math" w:hAnsi="Cambria Math" w:cs="Times New Roman"/>
              </w:rPr>
            </m:ctrlPr>
          </m:e>
          <m:sub>
            <m:r>
              <m:rPr>
                <m:sty m:val="p"/>
              </m:rPr>
              <w:rPr>
                <w:rFonts w:ascii="Cambria Math" w:hAnsi="Cambria Math" w:cs="Times New Roman"/>
              </w:rPr>
              <m:t>i</m:t>
            </m:r>
            <m:ctrlPr>
              <w:rPr>
                <w:rFonts w:ascii="Cambria Math" w:hAnsi="Cambria Math" w:cs="Times New Roman"/>
              </w:rPr>
            </m:ctrlPr>
          </m:sub>
        </m:sSub>
      </m:oMath>
      <w:r>
        <w:rPr>
          <w:rFonts w:cs="Times New Roman"/>
        </w:rPr>
        <w:t>（</w:t>
      </w:r>
      <w:r>
        <w:rPr>
          <w:rFonts w:hint="eastAsia" w:cs="Times New Roman"/>
        </w:rPr>
        <w:t>精确至0.1</w:t>
      </w:r>
      <w:r>
        <w:rPr>
          <w:rFonts w:cs="Times New Roman"/>
        </w:rPr>
        <w:t>g）。</w:t>
      </w:r>
    </w:p>
    <w:p>
      <w:pPr>
        <w:spacing w:line="360" w:lineRule="auto"/>
        <w:ind w:firstLine="482"/>
        <w:rPr>
          <w:rFonts w:cs="Times New Roman"/>
        </w:rPr>
      </w:pPr>
      <w:r>
        <w:rPr>
          <w:rFonts w:cs="Times New Roman"/>
          <w:b/>
          <w:bCs/>
        </w:rPr>
        <w:t>参数上报：</w:t>
      </w:r>
      <w:r>
        <w:rPr>
          <w:rFonts w:cs="Times New Roman"/>
        </w:rPr>
        <w:t>上报</w:t>
      </w:r>
      <w:r>
        <w:rPr>
          <w:rFonts w:hint="eastAsia" w:cs="Times New Roman"/>
        </w:rPr>
        <w:t>单层</w:t>
      </w:r>
      <w:r>
        <w:rPr>
          <w:rFonts w:cs="Times New Roman"/>
        </w:rPr>
        <w:t>一级加载拟选重量</w:t>
      </w:r>
      <m:oMath>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1</m:t>
            </m:r>
            <m:ctrlPr>
              <w:rPr>
                <w:rFonts w:ascii="Cambria Math" w:hAnsi="Cambria Math" w:cs="Times New Roman"/>
              </w:rPr>
            </m:ctrlPr>
          </m:sub>
        </m:sSub>
      </m:oMath>
      <w:r>
        <w:rPr>
          <w:rFonts w:cs="Times New Roman"/>
        </w:rPr>
        <w:t>（kg）及二级加载</w:t>
      </w:r>
      <w:r>
        <w:rPr>
          <w:rFonts w:hint="eastAsia" w:cs="Times New Roman"/>
        </w:rPr>
        <w:t>拟选</w:t>
      </w:r>
      <w:r>
        <w:rPr>
          <w:rFonts w:cs="Times New Roman"/>
        </w:rPr>
        <w:t>重</w:t>
      </w:r>
      <w:r>
        <w:rPr>
          <w:rFonts w:hint="eastAsia" w:cs="Times New Roman"/>
        </w:rPr>
        <w:t>量</w:t>
      </w:r>
      <m:oMath>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2</m:t>
            </m:r>
            <m:ctrlPr>
              <w:rPr>
                <w:rFonts w:ascii="Cambria Math" w:hAnsi="Cambria Math" w:cs="Times New Roman"/>
              </w:rPr>
            </m:ctrlPr>
          </m:sub>
        </m:sSub>
      </m:oMath>
      <w:r>
        <w:rPr>
          <w:rFonts w:cs="Times New Roman"/>
        </w:rPr>
        <w:t>（kg，含车体自重+车内砝码）。上报后不得更改。</w:t>
      </w:r>
    </w:p>
    <w:p>
      <w:pPr>
        <w:spacing w:line="360" w:lineRule="auto"/>
        <w:ind w:firstLine="0" w:firstLineChars="0"/>
        <w:rPr>
          <w:rFonts w:cs="Times New Roman"/>
          <w:b/>
          <w:bCs/>
        </w:rPr>
      </w:pPr>
      <w:r>
        <w:rPr>
          <w:rFonts w:hint="eastAsia" w:cs="Times New Roman"/>
          <w:b/>
          <w:bCs/>
        </w:rPr>
        <w:t>7.3预加载</w:t>
      </w:r>
    </w:p>
    <w:p>
      <w:pPr>
        <w:numPr>
          <w:ilvl w:val="0"/>
          <w:numId w:val="1"/>
        </w:numPr>
        <w:ind w:firstLine="0" w:firstLineChars="0"/>
        <w:rPr>
          <w:rFonts w:cs="Times New Roman"/>
          <w:b/>
          <w:bCs/>
        </w:rPr>
      </w:pPr>
      <w:r>
        <w:rPr>
          <w:rFonts w:cs="Times New Roman"/>
          <w:b/>
          <w:bCs/>
        </w:rPr>
        <w:t>预加载（静载，下层）</w:t>
      </w:r>
    </w:p>
    <w:p>
      <w:pPr>
        <w:ind w:firstLine="480"/>
      </w:pPr>
      <w:r>
        <w:rPr>
          <w:rFonts w:hint="eastAsia" w:ascii="Cambria Math" w:hAnsi="Cambria Math" w:cs="Times New Roman"/>
        </w:rPr>
        <w:t>志愿者将</w:t>
      </w:r>
      <w:r>
        <w:rPr>
          <w:rFonts w:hint="eastAsia" w:cs="Times New Roman"/>
        </w:rPr>
        <w:t>预加载压力分散板</w:t>
      </w:r>
      <w:r>
        <w:rPr>
          <w:rFonts w:hint="eastAsia"/>
        </w:rPr>
        <w:t>铺置于下层桥梁中部。</w:t>
      </w:r>
    </w:p>
    <w:p>
      <w:pPr>
        <w:spacing w:line="360" w:lineRule="auto"/>
        <w:ind w:firstLine="482"/>
        <w:rPr>
          <w:rFonts w:cs="Times New Roman"/>
          <w:b/>
          <w:bCs/>
        </w:rPr>
      </w:pPr>
      <w:r>
        <w:rPr>
          <w:rFonts w:hint="eastAsia" w:cs="Times New Roman"/>
          <w:b/>
          <w:bCs/>
        </w:rPr>
        <w:t>预加载</w:t>
      </w:r>
      <w:r>
        <w:rPr>
          <w:rFonts w:cs="Times New Roman"/>
          <w:b/>
          <w:bCs/>
        </w:rPr>
        <w:t>I</w:t>
      </w:r>
      <w:r>
        <w:rPr>
          <w:rFonts w:hint="eastAsia" w:cs="Times New Roman"/>
          <w:b/>
          <w:bCs/>
        </w:rPr>
        <w:t>：</w:t>
      </w:r>
    </w:p>
    <w:p>
      <w:pPr>
        <w:spacing w:line="360" w:lineRule="auto"/>
        <w:ind w:firstLine="480"/>
        <w:rPr>
          <w:rFonts w:cs="Times New Roman"/>
        </w:rPr>
      </w:pPr>
      <w:r>
        <w:rPr>
          <w:rFonts w:cs="Times New Roman"/>
        </w:rPr>
        <w:t>将</w:t>
      </w:r>
      <w:r>
        <w:rPr>
          <w:rFonts w:hint="eastAsia" w:cs="Times New Roman"/>
        </w:rPr>
        <w:t>4</w:t>
      </w:r>
      <w:r>
        <w:rPr>
          <w:rFonts w:cs="Times New Roman"/>
        </w:rPr>
        <w:t>kg砝码</w:t>
      </w:r>
      <w:r>
        <w:rPr>
          <w:rFonts w:hint="eastAsia" w:cs="Times New Roman"/>
        </w:rPr>
        <w:t>加载于预加载压力分散板的加载点2</w:t>
      </w:r>
      <w:r>
        <w:rPr>
          <w:rFonts w:cs="Times New Roman"/>
        </w:rPr>
        <w:t>。</w:t>
      </w:r>
    </w:p>
    <w:p>
      <w:pPr>
        <w:spacing w:line="360" w:lineRule="auto"/>
        <w:ind w:firstLine="480"/>
        <w:rPr>
          <w:rFonts w:cs="Times New Roman"/>
        </w:rPr>
      </w:pPr>
      <w:r>
        <w:rPr>
          <w:rFonts w:cs="Times New Roman"/>
        </w:rPr>
        <w:t>加载完成后选手举手示意，开始</w:t>
      </w:r>
      <w:r>
        <w:rPr>
          <w:rFonts w:hint="eastAsia" w:cs="Times New Roman"/>
        </w:rPr>
        <w:t>15</w:t>
      </w:r>
      <w:r>
        <w:rPr>
          <w:rFonts w:cs="Times New Roman"/>
        </w:rPr>
        <w:t>秒倒计时。</w:t>
      </w:r>
    </w:p>
    <w:p>
      <w:pPr>
        <w:spacing w:line="360" w:lineRule="auto"/>
        <w:ind w:firstLine="482"/>
        <w:rPr>
          <w:rFonts w:cs="Times New Roman"/>
        </w:rPr>
      </w:pPr>
      <w:r>
        <w:rPr>
          <w:rFonts w:cs="Times New Roman"/>
          <w:b/>
          <w:bCs/>
        </w:rPr>
        <w:t>判定：</w:t>
      </w:r>
      <w:r>
        <w:rPr>
          <w:rFonts w:hint="eastAsia" w:cs="Times New Roman"/>
        </w:rPr>
        <w:t>15</w:t>
      </w:r>
      <w:r>
        <w:rPr>
          <w:rFonts w:cs="Times New Roman"/>
        </w:rPr>
        <w:t>秒内模型无坍塌、失稳撕裂，视为通过。</w:t>
      </w:r>
      <w:r>
        <w:rPr>
          <w:rFonts w:hint="eastAsia" w:cs="Times New Roman"/>
        </w:rPr>
        <w:t>通过者继续进行预加载II，未通过者淘汰。</w:t>
      </w:r>
    </w:p>
    <w:p>
      <w:pPr>
        <w:spacing w:line="360" w:lineRule="auto"/>
        <w:ind w:firstLine="482"/>
        <w:rPr>
          <w:rFonts w:cs="Times New Roman"/>
          <w:b/>
          <w:bCs/>
        </w:rPr>
      </w:pPr>
      <w:r>
        <w:rPr>
          <w:rFonts w:hint="eastAsia" w:cs="Times New Roman"/>
          <w:b/>
          <w:bCs/>
        </w:rPr>
        <w:t>预加载II：</w:t>
      </w:r>
    </w:p>
    <w:p>
      <w:pPr>
        <w:spacing w:line="360" w:lineRule="auto"/>
        <w:ind w:firstLine="480"/>
        <w:rPr>
          <w:rFonts w:cs="Times New Roman"/>
        </w:rPr>
      </w:pPr>
      <w:r>
        <w:rPr>
          <w:rFonts w:hint="eastAsia" w:cs="Times New Roman"/>
        </w:rPr>
        <w:t>将两个重量各为4kg的</w:t>
      </w:r>
      <w:r>
        <w:rPr>
          <w:rFonts w:hint="eastAsia" w:cs="Times New Roman"/>
          <w:color w:val="000000" w:themeColor="text1"/>
          <w14:textFill>
            <w14:solidFill>
              <w14:schemeClr w14:val="tx1"/>
            </w14:solidFill>
          </w14:textFill>
        </w:rPr>
        <w:t>砝码分别置于</w:t>
      </w:r>
      <w:r>
        <w:rPr>
          <w:rFonts w:hint="eastAsia" w:cs="Times New Roman"/>
        </w:rPr>
        <w:t>预加载压力分散板</w:t>
      </w:r>
      <w:r>
        <w:rPr>
          <w:rFonts w:hint="eastAsia" w:cs="Times New Roman"/>
          <w:color w:val="000000" w:themeColor="text1"/>
          <w14:textFill>
            <w14:solidFill>
              <w14:schemeClr w14:val="tx1"/>
            </w14:solidFill>
          </w14:textFill>
        </w:rPr>
        <w:t>的</w:t>
      </w:r>
      <w:r>
        <w:rPr>
          <w:rFonts w:hint="eastAsia" w:cs="Times New Roman"/>
        </w:rPr>
        <w:t>加载点1、加载点3。</w:t>
      </w:r>
      <w:r>
        <w:rPr>
          <w:rFonts w:cs="Times New Roman"/>
        </w:rPr>
        <w:t>加载完成后选手举手示意，开始</w:t>
      </w:r>
      <w:r>
        <w:rPr>
          <w:rFonts w:hint="eastAsia" w:cs="Times New Roman"/>
        </w:rPr>
        <w:t>20</w:t>
      </w:r>
      <w:r>
        <w:rPr>
          <w:rFonts w:cs="Times New Roman"/>
        </w:rPr>
        <w:t>秒倒计时。</w:t>
      </w:r>
    </w:p>
    <w:p>
      <w:pPr>
        <w:spacing w:line="360" w:lineRule="auto"/>
        <w:ind w:firstLine="482"/>
        <w:rPr>
          <w:rFonts w:cs="Times New Roman"/>
          <w:highlight w:val="yellow"/>
        </w:rPr>
      </w:pPr>
      <w:r>
        <w:rPr>
          <w:rFonts w:cs="Times New Roman"/>
          <w:b/>
          <w:bCs/>
        </w:rPr>
        <w:t>判定：</w:t>
      </w:r>
      <w:r>
        <w:rPr>
          <w:rFonts w:hint="eastAsia" w:cs="Times New Roman"/>
          <w:b/>
          <w:bCs/>
        </w:rPr>
        <w:t>20</w:t>
      </w:r>
      <w:r>
        <w:rPr>
          <w:rFonts w:cs="Times New Roman"/>
        </w:rPr>
        <w:t>秒内模型无坍塌、失稳撕裂，视为通过。通过的队伍，</w:t>
      </w:r>
      <w:r>
        <w:rPr>
          <w:rFonts w:hint="eastAsia" w:cs="Times New Roman"/>
        </w:rPr>
        <w:t>组委会</w:t>
      </w:r>
      <w:r>
        <w:rPr>
          <w:rFonts w:cs="Times New Roman"/>
        </w:rPr>
        <w:t>将根据</w:t>
      </w:r>
      <w:r>
        <w:rPr>
          <w:rFonts w:hint="eastAsia" w:cs="Times New Roman"/>
        </w:rPr>
        <w:t>模型加载表现</w:t>
      </w:r>
      <w:r>
        <w:rPr>
          <w:rFonts w:cs="Times New Roman"/>
        </w:rPr>
        <w:t>以及模型的合理性，综合选前</w:t>
      </w:r>
      <w:r>
        <w:rPr>
          <w:rFonts w:hint="eastAsia" w:cs="Times New Roman"/>
        </w:rPr>
        <w:t>2</w:t>
      </w:r>
      <w:r>
        <w:rPr>
          <w:rFonts w:cs="Times New Roman"/>
        </w:rPr>
        <w:t>0组晋级，晋级决赛的队伍将进行后续加载与答辩。</w:t>
      </w:r>
    </w:p>
    <w:p>
      <w:pPr>
        <w:spacing w:line="360" w:lineRule="auto"/>
        <w:ind w:firstLine="482"/>
        <w:rPr>
          <w:rFonts w:cs="Times New Roman"/>
        </w:rPr>
      </w:pPr>
      <w:r>
        <w:rPr>
          <w:rFonts w:cs="Times New Roman"/>
          <w:b/>
          <w:bCs/>
        </w:rPr>
        <w:t>注释：</w:t>
      </w:r>
      <w:r>
        <w:rPr>
          <w:rFonts w:cs="Times New Roman"/>
        </w:rPr>
        <w:t>预加载将在模型验收时进行，模型通过竞赛组委会检查且通过预加载后可进入决赛进行后续加载和</w:t>
      </w:r>
      <w:r>
        <w:rPr>
          <w:rFonts w:hint="eastAsia" w:cs="Times New Roman"/>
        </w:rPr>
        <w:t>现场</w:t>
      </w:r>
      <w:r>
        <w:rPr>
          <w:rFonts w:cs="Times New Roman"/>
        </w:rPr>
        <w:t>答辩流程。</w:t>
      </w:r>
      <w:r>
        <w:rPr>
          <w:rFonts w:hint="eastAsia" w:cs="Times New Roman"/>
        </w:rPr>
        <w:t>决赛具体时间地点将另行通知，见赛事群。</w:t>
      </w:r>
    </w:p>
    <w:p>
      <w:pPr>
        <w:ind w:firstLine="0" w:firstLineChars="0"/>
        <w:rPr>
          <w:rFonts w:cs="Times New Roman"/>
          <w:b/>
          <w:bCs/>
        </w:rPr>
      </w:pPr>
      <w:r>
        <w:rPr>
          <w:rFonts w:cs="Times New Roman"/>
          <w:b/>
          <w:bCs/>
        </w:rPr>
        <w:t>7.</w:t>
      </w:r>
      <w:r>
        <w:rPr>
          <w:rFonts w:hint="eastAsia" w:cs="Times New Roman"/>
          <w:b/>
          <w:bCs/>
        </w:rPr>
        <w:t>4</w:t>
      </w:r>
      <w:r>
        <w:rPr>
          <w:rFonts w:cs="Times New Roman"/>
          <w:b/>
          <w:bCs/>
        </w:rPr>
        <w:t xml:space="preserve">分级加载 </w:t>
      </w:r>
    </w:p>
    <w:p>
      <w:pPr>
        <w:spacing w:line="360" w:lineRule="auto"/>
        <w:ind w:firstLine="480"/>
        <w:rPr>
          <w:rFonts w:cs="Times New Roman"/>
        </w:rPr>
      </w:pPr>
      <w:r>
        <w:rPr>
          <w:rFonts w:cs="Times New Roman"/>
        </w:rPr>
        <w:t>总加载时间不得超过</w:t>
      </w:r>
      <w:r>
        <w:rPr>
          <w:rFonts w:hint="eastAsia" w:cs="Times New Roman"/>
        </w:rPr>
        <w:t>6</w:t>
      </w:r>
      <w:r>
        <w:rPr>
          <w:rFonts w:cs="Times New Roman"/>
        </w:rPr>
        <w:t>分钟。加载过程中若模型坍塌、倾覆、砝码跌落或桥面塌陷导致小车无法通行，立即终止比赛，后续加载</w:t>
      </w:r>
      <w:r>
        <w:rPr>
          <w:rFonts w:hint="eastAsia" w:cs="Times New Roman"/>
        </w:rPr>
        <w:t>记</w:t>
      </w:r>
      <w:r>
        <w:rPr>
          <w:rFonts w:cs="Times New Roman"/>
        </w:rPr>
        <w:t>0分。</w:t>
      </w:r>
    </w:p>
    <w:p>
      <w:pPr>
        <w:numPr>
          <w:ilvl w:val="0"/>
          <w:numId w:val="1"/>
        </w:numPr>
        <w:ind w:firstLine="0" w:firstLineChars="0"/>
        <w:rPr>
          <w:rFonts w:cs="Times New Roman"/>
          <w:b/>
          <w:bCs/>
        </w:rPr>
      </w:pPr>
      <w:r>
        <w:rPr>
          <w:rFonts w:cs="Times New Roman"/>
          <w:b/>
          <w:bCs/>
        </w:rPr>
        <w:t>一级加载（静载，上下层同步）</w:t>
      </w:r>
    </w:p>
    <w:p>
      <w:pPr>
        <w:ind w:firstLine="480"/>
      </w:pPr>
      <w:r>
        <w:rPr>
          <w:rFonts w:hint="eastAsia" w:ascii="Cambria Math" w:hAnsi="Cambria Math" w:cs="Times New Roman"/>
        </w:rPr>
        <w:t>志愿者将</w:t>
      </w:r>
      <w:r>
        <w:rPr>
          <w:rFonts w:hint="eastAsia"/>
        </w:rPr>
        <w:t>两块一级加载压力分散板分别铺置于上、下层桥梁中部。</w:t>
      </w:r>
    </w:p>
    <w:p>
      <w:pPr>
        <w:spacing w:line="360" w:lineRule="auto"/>
        <w:ind w:firstLine="480"/>
        <w:rPr>
          <w:rFonts w:cs="Times New Roman"/>
        </w:rPr>
      </w:pPr>
      <w:r>
        <w:rPr>
          <w:rFonts w:cs="Times New Roman"/>
        </w:rPr>
        <w:t>选手</w:t>
      </w:r>
      <w:r>
        <w:rPr>
          <w:rFonts w:hint="eastAsia" w:cs="Times New Roman"/>
        </w:rPr>
        <w:t>提前</w:t>
      </w:r>
      <w:r>
        <w:rPr>
          <w:rFonts w:cs="Times New Roman"/>
        </w:rPr>
        <w:t>选择</w:t>
      </w:r>
      <w:r>
        <w:rPr>
          <w:rFonts w:hint="eastAsia" w:cs="Times New Roman"/>
        </w:rPr>
        <w:t>并上报</w:t>
      </w:r>
      <w:r>
        <w:rPr>
          <w:rFonts w:cs="Times New Roman"/>
        </w:rPr>
        <w:t>砝码重量</w:t>
      </w:r>
      <m:oMath>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1</m:t>
            </m:r>
            <m:ctrlPr>
              <w:rPr>
                <w:rFonts w:ascii="Cambria Math" w:hAnsi="Cambria Math" w:cs="Times New Roman"/>
              </w:rPr>
            </m:ctrlPr>
          </m:sub>
        </m:sSub>
      </m:oMath>
      <w:r>
        <w:rPr>
          <w:rFonts w:cs="Times New Roman"/>
        </w:rPr>
        <w:t>（可选范围：1,2,3,4,5,6,</w:t>
      </w:r>
      <w:r>
        <w:rPr>
          <w:rFonts w:hint="eastAsia" w:cs="Times New Roman"/>
        </w:rPr>
        <w:t>7,8,9,10</w:t>
      </w:r>
      <w:r>
        <w:rPr>
          <w:rFonts w:cs="Times New Roman"/>
        </w:rPr>
        <w:t>kg）。</w:t>
      </w:r>
    </w:p>
    <w:p>
      <w:pPr>
        <w:spacing w:line="360" w:lineRule="auto"/>
        <w:ind w:firstLine="480"/>
        <w:rPr>
          <w:rFonts w:cs="Times New Roman"/>
        </w:rPr>
      </w:pPr>
      <w:r>
        <w:rPr>
          <w:rFonts w:hint="eastAsia" w:cs="Times New Roman"/>
        </w:rPr>
        <w:t>选手先将重为</w:t>
      </w:r>
      <m:oMath>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1</m:t>
            </m:r>
            <m:ctrlPr>
              <w:rPr>
                <w:rFonts w:ascii="Cambria Math" w:hAnsi="Cambria Math" w:cs="Times New Roman"/>
              </w:rPr>
            </m:ctrlPr>
          </m:sub>
        </m:sSub>
      </m:oMath>
      <w:r>
        <w:rPr>
          <w:rFonts w:hint="eastAsia" w:cs="Times New Roman"/>
        </w:rPr>
        <w:t>的</w:t>
      </w:r>
      <w:r>
        <w:rPr>
          <w:rFonts w:cs="Times New Roman"/>
        </w:rPr>
        <w:t>砝码</w:t>
      </w:r>
      <w:r>
        <w:rPr>
          <w:rFonts w:hint="eastAsia" w:cs="Times New Roman"/>
        </w:rPr>
        <w:t>加载于下层</w:t>
      </w:r>
      <w:r>
        <w:rPr>
          <w:rFonts w:hint="eastAsia"/>
        </w:rPr>
        <w:t>一级加载压力分散板</w:t>
      </w:r>
      <w:r>
        <w:rPr>
          <w:rFonts w:hint="eastAsia" w:cs="Times New Roman"/>
        </w:rPr>
        <w:t>规定区域，再将重为</w:t>
      </w:r>
      <m:oMath>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1</m:t>
            </m:r>
            <m:ctrlPr>
              <w:rPr>
                <w:rFonts w:ascii="Cambria Math" w:hAnsi="Cambria Math" w:cs="Times New Roman"/>
              </w:rPr>
            </m:ctrlPr>
          </m:sub>
        </m:sSub>
      </m:oMath>
      <w:r>
        <w:rPr>
          <w:rFonts w:hint="eastAsia" w:cs="Times New Roman"/>
        </w:rPr>
        <w:t>的砝码加载于上层</w:t>
      </w:r>
      <w:r>
        <w:rPr>
          <w:rFonts w:hint="eastAsia"/>
        </w:rPr>
        <w:t>一级加载压力分散板</w:t>
      </w:r>
      <w:r>
        <w:rPr>
          <w:rFonts w:hint="eastAsia" w:cs="Times New Roman"/>
        </w:rPr>
        <w:t>规定区域。加载总重量为2</w:t>
      </w:r>
      <m:oMath>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1</m:t>
            </m:r>
            <m:ctrlPr>
              <w:rPr>
                <w:rFonts w:ascii="Cambria Math" w:hAnsi="Cambria Math" w:cs="Times New Roman"/>
              </w:rPr>
            </m:ctrlPr>
          </m:sub>
        </m:sSub>
      </m:oMath>
      <w:r>
        <w:rPr>
          <w:rFonts w:hint="eastAsia" w:hAnsi="Cambria Math" w:cs="Times New Roman"/>
        </w:rPr>
        <w:t>。</w:t>
      </w:r>
    </w:p>
    <w:p>
      <w:pPr>
        <w:spacing w:line="360" w:lineRule="auto"/>
        <w:ind w:firstLine="480"/>
        <w:rPr>
          <w:rFonts w:cs="Times New Roman"/>
        </w:rPr>
      </w:pPr>
      <w:r>
        <w:rPr>
          <w:rFonts w:hint="eastAsia" w:cs="Times New Roman"/>
        </w:rPr>
        <w:t>上下两层皆</w:t>
      </w:r>
      <w:r>
        <w:rPr>
          <w:rFonts w:cs="Times New Roman"/>
        </w:rPr>
        <w:t>加载完成后</w:t>
      </w:r>
      <w:r>
        <w:rPr>
          <w:rFonts w:hint="eastAsia" w:cs="Times New Roman"/>
        </w:rPr>
        <w:t>，</w:t>
      </w:r>
      <w:r>
        <w:rPr>
          <w:rFonts w:cs="Times New Roman"/>
        </w:rPr>
        <w:t>选手举手示意，开始</w:t>
      </w:r>
      <w:r>
        <w:rPr>
          <w:rFonts w:hint="eastAsia" w:cs="Times New Roman"/>
        </w:rPr>
        <w:t>1</w:t>
      </w:r>
      <w:r>
        <w:rPr>
          <w:rFonts w:cs="Times New Roman"/>
        </w:rPr>
        <w:t>0秒倒计时。</w:t>
      </w:r>
    </w:p>
    <w:p>
      <w:pPr>
        <w:spacing w:line="360" w:lineRule="auto"/>
        <w:ind w:firstLine="480"/>
        <w:rPr>
          <w:rFonts w:cs="Times New Roman"/>
        </w:rPr>
      </w:pPr>
      <w:r>
        <w:rPr>
          <w:rFonts w:hint="eastAsia" w:cs="Times New Roman"/>
        </w:rPr>
        <w:t>记录竖向位移</w:t>
      </w:r>
      <m:oMath>
        <m:r>
          <m:rPr/>
          <w:rPr>
            <w:rFonts w:ascii="Cambria Math" w:hAnsi="Cambria Math" w:cs="Times New Roman"/>
          </w:rPr>
          <m:t>δ</m:t>
        </m:r>
      </m:oMath>
      <w:r>
        <w:rPr>
          <w:rFonts w:hint="eastAsia" w:ascii="Cambria Math" w:hAnsi="Cambria Math" w:cs="Times New Roman"/>
          <w:iCs/>
          <w:vertAlign w:val="subscript"/>
        </w:rPr>
        <w:t xml:space="preserve">1 </w:t>
      </w:r>
      <w:r>
        <w:rPr>
          <w:rFonts w:hint="eastAsia" w:ascii="Cambria Math" w:hAnsi="Cambria Math" w:cs="Times New Roman"/>
          <w:iCs/>
        </w:rPr>
        <w:t>。</w:t>
      </w:r>
    </w:p>
    <w:p>
      <w:pPr>
        <w:spacing w:line="360" w:lineRule="auto"/>
        <w:ind w:firstLine="482"/>
        <w:rPr>
          <w:rFonts w:cs="Times New Roman"/>
        </w:rPr>
      </w:pPr>
      <w:r>
        <w:rPr>
          <w:rFonts w:cs="Times New Roman"/>
          <w:b/>
          <w:bCs/>
        </w:rPr>
        <w:t>判定：</w:t>
      </w:r>
      <w:r>
        <w:rPr>
          <w:rFonts w:hint="eastAsia" w:cs="Times New Roman"/>
        </w:rPr>
        <w:t>1</w:t>
      </w:r>
      <w:r>
        <w:rPr>
          <w:rFonts w:cs="Times New Roman"/>
        </w:rPr>
        <w:t>0秒内模型无破坏，且</w:t>
      </w:r>
      <w:r>
        <w:rPr>
          <w:rFonts w:hint="eastAsia" w:cs="Times New Roman"/>
        </w:rPr>
        <w:t>最大</w:t>
      </w:r>
      <w:r>
        <w:rPr>
          <w:rFonts w:cs="Times New Roman"/>
        </w:rPr>
        <w:t>竖向位移小于</w:t>
      </w:r>
      <w:r>
        <w:rPr>
          <w:rFonts w:hint="eastAsia" w:cs="Times New Roman"/>
        </w:rPr>
        <w:t>10</w:t>
      </w:r>
      <w:r>
        <w:rPr>
          <w:rFonts w:cs="Times New Roman"/>
        </w:rPr>
        <w:t>mm，视为加载成功。</w:t>
      </w:r>
    </w:p>
    <w:p>
      <w:pPr>
        <w:ind w:firstLine="0" w:firstLineChars="0"/>
        <w:rPr>
          <w:rFonts w:cs="Times New Roman"/>
          <w:b/>
          <w:bCs/>
        </w:rPr>
      </w:pPr>
      <w:r>
        <w:rPr>
          <w:rFonts w:hint="eastAsia" w:cs="Times New Roman"/>
          <w:b/>
          <w:bCs/>
        </w:rPr>
        <w:t>3）</w:t>
      </w:r>
      <w:r>
        <w:rPr>
          <w:rFonts w:cs="Times New Roman"/>
          <w:b/>
          <w:bCs/>
        </w:rPr>
        <w:t>二级加载（移动荷载）</w:t>
      </w:r>
    </w:p>
    <w:p>
      <w:pPr>
        <w:spacing w:line="360" w:lineRule="auto"/>
        <w:ind w:firstLine="480"/>
        <w:rPr>
          <w:rFonts w:ascii="Cambria Math" w:hAnsi="Cambria Math" w:cs="Times New Roman"/>
        </w:rPr>
      </w:pPr>
      <w:r>
        <w:rPr>
          <w:rFonts w:hint="eastAsia" w:ascii="Cambria Math" w:hAnsi="Cambria Math" w:cs="Times New Roman"/>
        </w:rPr>
        <w:t>志愿者将动加载轨道置于下层桥梁</w:t>
      </w:r>
      <w:r>
        <w:rPr>
          <w:rFonts w:ascii="Cambria Math" w:hAnsi="Cambria Math" w:cs="Times New Roman"/>
        </w:rPr>
        <w:t>，为小车的行驶提供平直路面。</w:t>
      </w:r>
    </w:p>
    <w:p>
      <w:pPr>
        <w:spacing w:line="360" w:lineRule="auto"/>
        <w:ind w:firstLine="480"/>
        <w:rPr>
          <w:rFonts w:ascii="Cambria Math" w:hAnsi="Cambria Math" w:cs="Times New Roman"/>
        </w:rPr>
      </w:pPr>
      <w:r>
        <w:rPr>
          <w:rFonts w:ascii="Cambria Math" w:hAnsi="Cambria Math" w:cs="Times New Roman"/>
        </w:rPr>
        <w:t>选手将</w:t>
      </w:r>
      <w:r>
        <w:rPr>
          <w:rFonts w:hint="eastAsia" w:ascii="Cambria Math" w:hAnsi="Cambria Math" w:cs="Times New Roman"/>
        </w:rPr>
        <w:t>总</w:t>
      </w:r>
      <w:r>
        <w:rPr>
          <w:rFonts w:ascii="Cambria Math" w:hAnsi="Cambria Math" w:cs="Times New Roman"/>
        </w:rPr>
        <w:t>重为</w:t>
      </w:r>
      <m:oMath>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2</m:t>
            </m:r>
            <m:ctrlPr>
              <w:rPr>
                <w:rFonts w:ascii="Cambria Math" w:hAnsi="Cambria Math" w:cs="Times New Roman"/>
              </w:rPr>
            </m:ctrlPr>
          </m:sub>
        </m:sSub>
      </m:oMath>
      <w:r>
        <w:rPr>
          <w:rFonts w:ascii="Cambria Math" w:hAnsi="Cambria Math" w:cs="Times New Roman"/>
        </w:rPr>
        <w:t>的小车（</w:t>
      </w:r>
      <w:r>
        <w:rPr>
          <w:rFonts w:hint="eastAsia" w:ascii="Cambria Math" w:hAnsi="Cambria Math" w:cs="Times New Roman"/>
        </w:rPr>
        <w:t>小车自重2kg，砝码</w:t>
      </w:r>
      <w:r>
        <w:rPr>
          <w:rFonts w:cs="Times New Roman"/>
        </w:rPr>
        <w:t>可选范围</w:t>
      </w:r>
      <w:r>
        <w:rPr>
          <w:rFonts w:hint="eastAsia" w:cs="Times New Roman"/>
        </w:rPr>
        <w:t>：</w:t>
      </w:r>
      <w:r>
        <w:rPr>
          <w:rFonts w:cs="Times New Roman"/>
        </w:rPr>
        <w:t>1,2,3,4,5,6,</w:t>
      </w:r>
      <w:r>
        <w:rPr>
          <w:rFonts w:hint="eastAsia" w:cs="Times New Roman"/>
        </w:rPr>
        <w:t>7,8</w:t>
      </w:r>
      <w:r>
        <w:rPr>
          <w:rFonts w:cs="Times New Roman"/>
        </w:rPr>
        <w:t>kg</w:t>
      </w:r>
      <w:r>
        <w:rPr>
          <w:rFonts w:ascii="Cambria Math" w:hAnsi="Cambria Math" w:cs="Times New Roman"/>
        </w:rPr>
        <w:t xml:space="preserve"> ）置于</w:t>
      </w:r>
      <w:r>
        <w:rPr>
          <w:rFonts w:hint="eastAsia" w:ascii="Cambria Math" w:hAnsi="Cambria Math" w:cs="Times New Roman"/>
        </w:rPr>
        <w:t>河岸一侧</w:t>
      </w:r>
      <w:r>
        <w:rPr>
          <w:rFonts w:ascii="Cambria Math" w:hAnsi="Cambria Math" w:cs="Times New Roman"/>
        </w:rPr>
        <w:t>，</w:t>
      </w:r>
      <w:r>
        <w:rPr>
          <w:rFonts w:hint="eastAsia" w:ascii="Cambria Math" w:hAnsi="Cambria Math" w:cs="Times New Roman"/>
        </w:rPr>
        <w:t>前后</w:t>
      </w:r>
      <w:r>
        <w:rPr>
          <w:rFonts w:ascii="Cambria Math" w:hAnsi="Cambria Math" w:cs="Times New Roman"/>
        </w:rPr>
        <w:t>连接牵引绳。</w:t>
      </w:r>
    </w:p>
    <w:p>
      <w:pPr>
        <w:spacing w:line="360" w:lineRule="auto"/>
        <w:ind w:firstLine="480"/>
        <w:rPr>
          <w:rFonts w:ascii="Cambria Math" w:hAnsi="Cambria Math" w:cs="Times New Roman"/>
          <w:highlight w:val="yellow"/>
        </w:rPr>
      </w:pPr>
      <w:r>
        <w:rPr>
          <w:rFonts w:ascii="Cambria Math" w:hAnsi="Cambria Math" w:cs="Times New Roman"/>
        </w:rPr>
        <w:t>由两名选手分别在桥梁两端（模拟桥台位置）牵引小车，缓慢匀速移动</w:t>
      </w:r>
      <w:r>
        <w:rPr>
          <w:rFonts w:hint="eastAsia" w:ascii="Cambria Math" w:hAnsi="Cambria Math" w:cs="Times New Roman"/>
        </w:rPr>
        <w:t>，先从河岸登上桥梁，在桥梁中部红线前停止，记录竖向位移</w:t>
      </w:r>
      <m:oMath>
        <m:r>
          <m:rPr/>
          <w:rPr>
            <w:rFonts w:ascii="Cambria Math" w:hAnsi="Cambria Math" w:cs="Times New Roman"/>
          </w:rPr>
          <m:t>δ</m:t>
        </m:r>
      </m:oMath>
      <w:r>
        <w:rPr>
          <w:rFonts w:hint="eastAsia" w:ascii="Cambria Math" w:hAnsi="Cambria Math" w:cs="Times New Roman"/>
          <w:iCs/>
          <w:vertAlign w:val="subscript"/>
        </w:rPr>
        <w:t>2</w:t>
      </w:r>
      <w:r>
        <w:rPr>
          <w:rFonts w:hint="eastAsia" w:ascii="Cambria Math" w:hAnsi="Cambria Math" w:cs="Times New Roman"/>
          <w:iCs/>
        </w:rPr>
        <w:t>后，</w:t>
      </w:r>
      <w:r>
        <w:rPr>
          <w:rFonts w:hint="eastAsia" w:ascii="Cambria Math" w:hAnsi="Cambria Math" w:cs="Times New Roman"/>
        </w:rPr>
        <w:t>再重新起步</w:t>
      </w:r>
      <w:r>
        <w:rPr>
          <w:rFonts w:ascii="Cambria Math" w:hAnsi="Cambria Math" w:cs="Times New Roman"/>
        </w:rPr>
        <w:t>到</w:t>
      </w:r>
      <w:r>
        <w:rPr>
          <w:rFonts w:hint="eastAsia" w:ascii="Cambria Math" w:hAnsi="Cambria Math" w:cs="Times New Roman"/>
        </w:rPr>
        <w:t>桥梁</w:t>
      </w:r>
      <w:r>
        <w:rPr>
          <w:rFonts w:ascii="Cambria Math" w:hAnsi="Cambria Math" w:cs="Times New Roman"/>
        </w:rPr>
        <w:t>另一端</w:t>
      </w:r>
      <w:r>
        <w:rPr>
          <w:rFonts w:hint="eastAsia" w:ascii="Cambria Math" w:hAnsi="Cambria Math" w:cs="Times New Roman"/>
        </w:rPr>
        <w:t>，进入河岸。</w:t>
      </w:r>
    </w:p>
    <w:p>
      <w:pPr>
        <w:spacing w:line="360" w:lineRule="auto"/>
        <w:ind w:firstLine="482"/>
        <w:rPr>
          <w:rFonts w:ascii="Cambria Math" w:hAnsi="Cambria Math" w:cs="Times New Roman"/>
        </w:rPr>
      </w:pPr>
      <w:r>
        <w:rPr>
          <w:rFonts w:ascii="Cambria Math" w:hAnsi="Cambria Math" w:cs="Times New Roman"/>
          <w:b/>
          <w:bCs/>
        </w:rPr>
        <w:t>判定：</w:t>
      </w:r>
      <w:r>
        <w:rPr>
          <w:rFonts w:ascii="Cambria Math" w:hAnsi="Cambria Math" w:cs="Times New Roman"/>
        </w:rPr>
        <w:t>小车顺利通过全桥，未出现桥面塌陷导致卡滞、模型失稳或构件脱落，</w:t>
      </w:r>
      <w:r>
        <w:rPr>
          <w:rFonts w:cs="Times New Roman"/>
        </w:rPr>
        <w:t>且竖向位移小于</w:t>
      </w:r>
      <w:r>
        <w:rPr>
          <w:rFonts w:hint="eastAsia" w:cs="Times New Roman"/>
        </w:rPr>
        <w:t>10</w:t>
      </w:r>
      <w:r>
        <w:rPr>
          <w:rFonts w:cs="Times New Roman"/>
        </w:rPr>
        <w:t>mm</w:t>
      </w:r>
      <w:r>
        <w:rPr>
          <w:rFonts w:hint="eastAsia" w:cs="Times New Roman"/>
        </w:rPr>
        <w:t>，</w:t>
      </w:r>
      <w:r>
        <w:rPr>
          <w:rFonts w:ascii="Cambria Math" w:hAnsi="Cambria Math" w:cs="Times New Roman"/>
        </w:rPr>
        <w:t>视为加载成功，加载重量有效。加载失败则该项载重计为0。若队内人员不足，可寻求志愿者帮助，协助完成二级加载，但对于比赛结果，志愿者概不负责。</w:t>
      </w:r>
    </w:p>
    <w:p>
      <w:pPr>
        <w:spacing w:line="360" w:lineRule="auto"/>
        <w:ind w:firstLine="482"/>
        <w:rPr>
          <w:rFonts w:ascii="Cambria Math" w:hAnsi="Cambria Math" w:cs="Times New Roman"/>
        </w:rPr>
      </w:pPr>
      <w:r>
        <w:rPr>
          <w:rFonts w:ascii="Cambria Math" w:hAnsi="Cambria Math" w:cs="Times New Roman"/>
          <w:b/>
          <w:bCs/>
        </w:rPr>
        <w:t>补充：</w:t>
      </w:r>
      <w:r>
        <w:rPr>
          <w:rFonts w:ascii="Cambria Math" w:hAnsi="Cambria Math" w:cs="Times New Roman"/>
        </w:rPr>
        <w:t>完成一二级加载后若时间还有空余，选手可自行选择在一二级加载挑战新的加载重量，若挑战成功，该重量可代替原有登记载重</w:t>
      </w:r>
      <w:r>
        <w:rPr>
          <w:rFonts w:hint="eastAsia" w:ascii="Cambria Math" w:hAnsi="Cambria Math" w:cs="Times New Roman"/>
        </w:rPr>
        <w:t>计入</w:t>
      </w:r>
      <w:r>
        <w:rPr>
          <w:rFonts w:ascii="Cambria Math" w:hAnsi="Cambria Math" w:cs="Times New Roman"/>
        </w:rPr>
        <w:t>成绩，所有操作在</w:t>
      </w:r>
      <w:r>
        <w:rPr>
          <w:rFonts w:hint="eastAsia" w:ascii="Cambria Math" w:hAnsi="Cambria Math" w:cs="Times New Roman"/>
        </w:rPr>
        <w:t>6</w:t>
      </w:r>
      <w:r>
        <w:rPr>
          <w:rFonts w:ascii="Cambria Math" w:hAnsi="Cambria Math" w:cs="Times New Roman"/>
        </w:rPr>
        <w:t>分钟内完成。</w:t>
      </w:r>
    </w:p>
    <w:p>
      <w:pPr>
        <w:ind w:firstLine="0" w:firstLineChars="0"/>
        <w:rPr>
          <w:rFonts w:cs="Times New Roman"/>
          <w:b/>
          <w:bCs/>
        </w:rPr>
      </w:pPr>
      <w:r>
        <w:rPr>
          <w:rFonts w:cs="Times New Roman"/>
          <w:b/>
          <w:bCs/>
        </w:rPr>
        <w:t>7.</w:t>
      </w:r>
      <w:r>
        <w:rPr>
          <w:rFonts w:hint="eastAsia" w:cs="Times New Roman"/>
          <w:b/>
          <w:bCs/>
        </w:rPr>
        <w:t>5陈述</w:t>
      </w:r>
      <w:r>
        <w:rPr>
          <w:rFonts w:cs="Times New Roman"/>
          <w:b/>
          <w:bCs/>
        </w:rPr>
        <w:t>答辩</w:t>
      </w:r>
      <w:r>
        <w:rPr>
          <w:rFonts w:hint="eastAsia" w:cs="Times New Roman"/>
          <w:b/>
          <w:bCs/>
        </w:rPr>
        <w:t>流程</w:t>
      </w:r>
      <w:r>
        <w:rPr>
          <w:rFonts w:cs="Times New Roman"/>
          <w:b/>
          <w:bCs/>
        </w:rPr>
        <w:t xml:space="preserve"> </w:t>
      </w:r>
    </w:p>
    <w:p>
      <w:pPr>
        <w:spacing w:line="360" w:lineRule="auto"/>
        <w:ind w:firstLine="480"/>
        <w:rPr>
          <w:rFonts w:ascii="Cambria Math" w:hAnsi="Cambria Math" w:cs="Times New Roman"/>
        </w:rPr>
      </w:pPr>
      <w:r>
        <w:rPr>
          <w:rFonts w:hint="eastAsia" w:ascii="Cambria Math" w:hAnsi="Cambria Math" w:cs="Times New Roman"/>
        </w:rPr>
        <w:t>成功进入决赛的队伍将进行现场加载和答辩。队伍加载前，将在大屏播放其提交的陈述视频，播放完毕进行加载，加载重量按提前上报的数据进行。加载结束后，队员可一起</w:t>
      </w:r>
      <w:r>
        <w:rPr>
          <w:rFonts w:ascii="Cambria Math" w:hAnsi="Cambria Math" w:cs="Times New Roman"/>
        </w:rPr>
        <w:t>进行现场答辩，约</w:t>
      </w:r>
      <w:r>
        <w:rPr>
          <w:rFonts w:hint="eastAsia" w:ascii="Cambria Math" w:hAnsi="Cambria Math" w:cs="Times New Roman"/>
        </w:rPr>
        <w:t>1</w:t>
      </w:r>
      <w:r>
        <w:rPr>
          <w:rFonts w:ascii="Cambria Math" w:hAnsi="Cambria Math" w:cs="Times New Roman"/>
        </w:rPr>
        <w:t>分钟。重点</w:t>
      </w:r>
      <w:r>
        <w:rPr>
          <w:rFonts w:hint="eastAsia" w:ascii="Cambria Math" w:hAnsi="Cambria Math" w:cs="Times New Roman"/>
        </w:rPr>
        <w:t>考查</w:t>
      </w:r>
      <w:r>
        <w:rPr>
          <w:rFonts w:ascii="Cambria Math" w:hAnsi="Cambria Math" w:cs="Times New Roman"/>
        </w:rPr>
        <w:t>对结构受力的理解和设计的逻辑性。</w:t>
      </w:r>
    </w:p>
    <w:p>
      <w:pPr>
        <w:ind w:firstLine="0" w:firstLineChars="0"/>
        <w:rPr>
          <w:rFonts w:cs="Times New Roman"/>
          <w:b/>
          <w:bCs/>
        </w:rPr>
      </w:pPr>
      <w:r>
        <w:rPr>
          <w:rFonts w:cs="Times New Roman"/>
          <w:b/>
          <w:bCs/>
        </w:rPr>
        <w:t xml:space="preserve">8评分细则（满分100分） </w:t>
      </w:r>
    </w:p>
    <w:p>
      <w:pPr>
        <w:spacing w:line="360" w:lineRule="auto"/>
        <w:ind w:firstLine="480"/>
        <w:rPr>
          <w:rFonts w:ascii="Cambria Math" w:hAnsi="Cambria Math" w:cs="Times New Roman"/>
        </w:rPr>
      </w:pPr>
      <w:r>
        <w:rPr>
          <w:rFonts w:ascii="Cambria Math" w:hAnsi="Cambria Math" w:cs="Times New Roman"/>
        </w:rPr>
        <w:t>总分</w:t>
      </w:r>
      <w:r>
        <w:rPr>
          <w:rFonts w:hint="eastAsia" w:ascii="Cambria Math" w:hAnsi="Cambria Math" w:cs="Times New Roman"/>
        </w:rPr>
        <w:t>F</w:t>
      </w:r>
      <w:r>
        <w:rPr>
          <w:rFonts w:ascii="Cambria Math" w:hAnsi="Cambria Math" w:cs="Times New Roman"/>
        </w:rPr>
        <w:t>=A+B+C+D</w:t>
      </w:r>
      <w:r>
        <w:rPr>
          <w:rFonts w:hint="eastAsia" w:ascii="Cambria Math" w:hAnsi="Cambria Math" w:cs="Times New Roman"/>
        </w:rPr>
        <w:t>+E</w:t>
      </w:r>
      <w:r>
        <w:rPr>
          <w:rFonts w:ascii="Cambria Math" w:hAnsi="Cambria Math" w:cs="Times New Roman"/>
        </w:rPr>
        <w:t xml:space="preserve"> </w:t>
      </w:r>
    </w:p>
    <w:p>
      <w:pPr>
        <w:ind w:firstLine="0" w:firstLineChars="0"/>
        <w:rPr>
          <w:rFonts w:cs="Times New Roman"/>
          <w:b/>
          <w:bCs/>
        </w:rPr>
      </w:pPr>
      <w:r>
        <w:rPr>
          <w:rFonts w:cs="Times New Roman"/>
          <w:b/>
          <w:bCs/>
        </w:rPr>
        <w:t>A.模型制作分（</w:t>
      </w:r>
      <w:r>
        <w:rPr>
          <w:rFonts w:hint="eastAsia" w:cs="Times New Roman"/>
          <w:b/>
          <w:bCs/>
        </w:rPr>
        <w:t>8</w:t>
      </w:r>
      <w:r>
        <w:rPr>
          <w:rFonts w:cs="Times New Roman"/>
          <w:b/>
          <w:bCs/>
        </w:rPr>
        <w:t>分）</w:t>
      </w:r>
    </w:p>
    <w:p>
      <w:pPr>
        <w:spacing w:line="360" w:lineRule="auto"/>
        <w:ind w:firstLine="480"/>
        <w:rPr>
          <w:rFonts w:ascii="Cambria Math" w:hAnsi="Cambria Math" w:cs="Times New Roman"/>
        </w:rPr>
      </w:pPr>
      <w:r>
        <w:rPr>
          <w:rFonts w:ascii="Cambria Math" w:hAnsi="Cambria Math" w:cs="Times New Roman"/>
        </w:rPr>
        <w:t>美观性（</w:t>
      </w:r>
      <w:r>
        <w:rPr>
          <w:rFonts w:hint="eastAsia" w:ascii="Cambria Math" w:hAnsi="Cambria Math" w:cs="Times New Roman"/>
        </w:rPr>
        <w:t>4</w:t>
      </w:r>
      <w:r>
        <w:rPr>
          <w:rFonts w:ascii="Cambria Math" w:hAnsi="Cambria Math" w:cs="Times New Roman"/>
        </w:rPr>
        <w:t>分）：涂装整洁</w:t>
      </w:r>
      <w:r>
        <w:rPr>
          <w:rFonts w:hint="eastAsia" w:ascii="Cambria Math" w:hAnsi="Cambria Math" w:cs="Times New Roman"/>
        </w:rPr>
        <w:t>、</w:t>
      </w:r>
      <w:r>
        <w:rPr>
          <w:rFonts w:ascii="Cambria Math" w:hAnsi="Cambria Math" w:cs="Times New Roman"/>
        </w:rPr>
        <w:t>比例协调</w:t>
      </w:r>
      <w:r>
        <w:rPr>
          <w:rFonts w:hint="eastAsia" w:ascii="Cambria Math" w:hAnsi="Cambria Math" w:cs="Times New Roman"/>
        </w:rPr>
        <w:t>、额外装饰涂鸦、立意独特</w:t>
      </w:r>
      <w:r>
        <w:rPr>
          <w:rFonts w:ascii="Cambria Math" w:hAnsi="Cambria Math" w:cs="Times New Roman"/>
        </w:rPr>
        <w:t>。</w:t>
      </w:r>
    </w:p>
    <w:p>
      <w:pPr>
        <w:spacing w:line="360" w:lineRule="auto"/>
        <w:ind w:firstLine="480"/>
        <w:rPr>
          <w:rFonts w:ascii="Cambria Math" w:hAnsi="Cambria Math" w:cs="Times New Roman"/>
        </w:rPr>
      </w:pPr>
      <w:r>
        <w:rPr>
          <w:rFonts w:ascii="Cambria Math" w:hAnsi="Cambria Math" w:cs="Times New Roman"/>
        </w:rPr>
        <w:t>工艺性（</w:t>
      </w:r>
      <w:r>
        <w:rPr>
          <w:rFonts w:hint="eastAsia" w:ascii="Cambria Math" w:hAnsi="Cambria Math" w:cs="Times New Roman"/>
        </w:rPr>
        <w:t>4</w:t>
      </w:r>
      <w:r>
        <w:rPr>
          <w:rFonts w:ascii="Cambria Math" w:hAnsi="Cambria Math" w:cs="Times New Roman"/>
        </w:rPr>
        <w:t>分）：造型优美</w:t>
      </w:r>
      <w:r>
        <w:rPr>
          <w:rFonts w:hint="eastAsia" w:ascii="Cambria Math" w:hAnsi="Cambria Math" w:cs="Times New Roman"/>
        </w:rPr>
        <w:t>、</w:t>
      </w:r>
      <w:r>
        <w:rPr>
          <w:rFonts w:ascii="Cambria Math" w:hAnsi="Cambria Math" w:cs="Times New Roman"/>
        </w:rPr>
        <w:t>制作精细，切口平整，折痕清晰，节点处理得当。</w:t>
      </w:r>
    </w:p>
    <w:p>
      <w:pPr>
        <w:ind w:firstLine="0" w:firstLineChars="0"/>
        <w:rPr>
          <w:rFonts w:cs="Times New Roman"/>
          <w:b/>
          <w:bCs/>
        </w:rPr>
      </w:pPr>
      <w:r>
        <w:rPr>
          <w:rFonts w:cs="Times New Roman"/>
          <w:b/>
          <w:bCs/>
        </w:rPr>
        <w:t>B.理论方案分（</w:t>
      </w:r>
      <w:r>
        <w:rPr>
          <w:rFonts w:hint="eastAsia" w:cs="Times New Roman"/>
          <w:b/>
          <w:bCs/>
        </w:rPr>
        <w:t>4</w:t>
      </w:r>
      <w:r>
        <w:rPr>
          <w:rFonts w:cs="Times New Roman"/>
          <w:b/>
          <w:bCs/>
        </w:rPr>
        <w:t>分）</w:t>
      </w:r>
    </w:p>
    <w:p>
      <w:pPr>
        <w:spacing w:line="360" w:lineRule="auto"/>
        <w:ind w:firstLine="480"/>
        <w:rPr>
          <w:rFonts w:ascii="Cambria Math" w:hAnsi="Cambria Math" w:cs="Times New Roman"/>
        </w:rPr>
      </w:pPr>
      <w:r>
        <w:rPr>
          <w:rFonts w:ascii="Cambria Math" w:hAnsi="Cambria Math" w:cs="Times New Roman"/>
        </w:rPr>
        <w:t>依据方案的逻辑性、规范性和对力学原理的正确应用进行评分。</w:t>
      </w:r>
    </w:p>
    <w:p>
      <w:pPr>
        <w:ind w:firstLine="0" w:firstLineChars="0"/>
        <w:rPr>
          <w:rFonts w:cs="Times New Roman"/>
          <w:b/>
          <w:bCs/>
        </w:rPr>
      </w:pPr>
      <w:r>
        <w:rPr>
          <w:rFonts w:cs="Times New Roman"/>
          <w:b/>
          <w:bCs/>
        </w:rPr>
        <w:t>C.</w:t>
      </w:r>
      <w:r>
        <w:rPr>
          <w:rFonts w:hint="eastAsia" w:cs="Times New Roman"/>
          <w:b/>
          <w:bCs/>
        </w:rPr>
        <w:t>陈述</w:t>
      </w:r>
      <w:r>
        <w:rPr>
          <w:rFonts w:cs="Times New Roman"/>
          <w:b/>
          <w:bCs/>
        </w:rPr>
        <w:t>答辩分（</w:t>
      </w:r>
      <w:r>
        <w:rPr>
          <w:rFonts w:hint="eastAsia" w:cs="Times New Roman"/>
          <w:b/>
          <w:bCs/>
        </w:rPr>
        <w:t>8</w:t>
      </w:r>
      <w:r>
        <w:rPr>
          <w:rFonts w:cs="Times New Roman"/>
          <w:b/>
          <w:bCs/>
        </w:rPr>
        <w:t>分）</w:t>
      </w:r>
    </w:p>
    <w:p>
      <w:pPr>
        <w:spacing w:line="360" w:lineRule="auto"/>
        <w:ind w:firstLine="480"/>
        <w:rPr>
          <w:rFonts w:ascii="Cambria Math" w:hAnsi="Cambria Math" w:cs="Times New Roman"/>
        </w:rPr>
      </w:pPr>
      <w:r>
        <w:rPr>
          <w:rFonts w:ascii="Cambria Math" w:hAnsi="Cambria Math" w:cs="Times New Roman"/>
        </w:rPr>
        <w:t>陈述</w:t>
      </w:r>
      <w:r>
        <w:rPr>
          <w:rFonts w:hint="eastAsia" w:ascii="Cambria Math" w:hAnsi="Cambria Math" w:cs="Times New Roman"/>
        </w:rPr>
        <w:t>视频（5分）：视频质量高、陈述语言流畅、制作过程记录完整，有创新新意体现可酌情加分。</w:t>
      </w:r>
    </w:p>
    <w:p>
      <w:pPr>
        <w:spacing w:line="360" w:lineRule="auto"/>
        <w:ind w:firstLine="480"/>
        <w:rPr>
          <w:rFonts w:ascii="Cambria Math" w:hAnsi="Cambria Math" w:cs="Times New Roman"/>
        </w:rPr>
      </w:pPr>
      <w:r>
        <w:rPr>
          <w:rFonts w:hint="eastAsia" w:ascii="Cambria Math" w:hAnsi="Cambria Math" w:cs="Times New Roman"/>
        </w:rPr>
        <w:t>答辩（3分）：</w:t>
      </w:r>
      <w:r>
        <w:rPr>
          <w:rFonts w:ascii="Cambria Math" w:hAnsi="Cambria Math" w:cs="Times New Roman"/>
        </w:rPr>
        <w:t>回答问题的准确性及团队成员的协作表现评分。</w:t>
      </w:r>
    </w:p>
    <w:p>
      <w:pPr>
        <w:ind w:firstLine="0" w:firstLineChars="0"/>
        <w:rPr>
          <w:rFonts w:cs="Times New Roman"/>
          <w:b/>
          <w:bCs/>
        </w:rPr>
      </w:pPr>
      <w:r>
        <w:rPr>
          <w:rFonts w:hint="eastAsia" w:cs="Times New Roman"/>
          <w:b/>
          <w:bCs/>
        </w:rPr>
        <w:t>D.</w:t>
      </w:r>
      <w:r>
        <w:rPr>
          <w:rFonts w:cs="Times New Roman"/>
          <w:b/>
          <w:bCs/>
        </w:rPr>
        <w:t>试验加载分（70分）</w:t>
      </w:r>
    </w:p>
    <w:p>
      <w:pPr>
        <w:spacing w:line="360" w:lineRule="auto"/>
        <w:ind w:firstLine="480"/>
        <w:rPr>
          <w:rFonts w:ascii="Cambria Math" w:hAnsi="Cambria Math" w:cs="Times New Roman"/>
        </w:rPr>
      </w:pPr>
      <w:r>
        <w:rPr>
          <w:rFonts w:hint="eastAsia" w:ascii="Cambria Math" w:hAnsi="Cambria Math" w:cs="Times New Roman"/>
        </w:rPr>
        <w:t>参数再说明：</w:t>
      </w:r>
    </w:p>
    <w:p>
      <w:pPr>
        <w:spacing w:line="360" w:lineRule="auto"/>
        <w:ind w:firstLine="480"/>
        <w:rPr>
          <w:rFonts w:ascii="Cambria Math" w:hAnsi="Cambria Math" w:cs="Times New Roman"/>
        </w:rPr>
      </w:pPr>
      <m:oMath>
        <m:sSub>
          <m:sSubPr>
            <m:ctrlPr>
              <w:rPr>
                <w:rFonts w:ascii="Cambria Math" w:hAnsi="Cambria Math" w:cs="Times New Roman"/>
              </w:rPr>
            </m:ctrlPr>
          </m:sSubPr>
          <m:e>
            <m:r>
              <m:rPr>
                <m:sty m:val="p"/>
              </m:rPr>
              <w:rPr>
                <w:rFonts w:ascii="Cambria Math" w:hAnsi="Cambria Math" w:cs="Times New Roman"/>
              </w:rPr>
              <m:t>m</m:t>
            </m:r>
            <m:ctrlPr>
              <w:rPr>
                <w:rFonts w:ascii="Cambria Math" w:hAnsi="Cambria Math" w:cs="Times New Roman"/>
              </w:rPr>
            </m:ctrlPr>
          </m:e>
          <m:sub>
            <m:r>
              <m:rPr>
                <m:sty m:val="p"/>
              </m:rPr>
              <w:rPr>
                <w:rFonts w:ascii="Cambria Math" w:hAnsi="Cambria Math" w:cs="Times New Roman"/>
              </w:rPr>
              <m:t>i</m:t>
            </m:r>
            <m:ctrlPr>
              <w:rPr>
                <w:rFonts w:ascii="Cambria Math" w:hAnsi="Cambria Math" w:cs="Times New Roman"/>
              </w:rPr>
            </m:ctrlPr>
          </m:sub>
        </m:sSub>
      </m:oMath>
      <w:r>
        <w:rPr>
          <w:rFonts w:hint="eastAsia" w:ascii="Cambria Math" w:hAnsi="Cambria Math" w:cs="Times New Roman"/>
        </w:rPr>
        <w:t>：选手模型自重；</w:t>
      </w:r>
      <m:oMath>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1</m:t>
            </m:r>
            <m:ctrlPr>
              <w:rPr>
                <w:rFonts w:ascii="Cambria Math" w:hAnsi="Cambria Math" w:cs="Times New Roman"/>
              </w:rPr>
            </m:ctrlPr>
          </m:sub>
        </m:sSub>
        <m:r>
          <m:rPr>
            <m:sty m:val="p"/>
          </m:rPr>
          <w:rPr>
            <w:rFonts w:ascii="Cambria Math" w:hAnsi="Cambria Math" w:cs="Times New Roman"/>
          </w:rPr>
          <m:t xml:space="preserve"> </m:t>
        </m:r>
      </m:oMath>
      <w:r>
        <w:rPr>
          <w:rFonts w:hint="eastAsia" w:ascii="Cambria Math" w:hAnsi="Cambria Math" w:cs="Times New Roman"/>
        </w:rPr>
        <w:t>：一级加载单层重量；</w:t>
      </w:r>
      <m:oMath>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2</m:t>
            </m:r>
            <m:ctrlPr>
              <w:rPr>
                <w:rFonts w:ascii="Cambria Math" w:hAnsi="Cambria Math" w:cs="Times New Roman"/>
              </w:rPr>
            </m:ctrlPr>
          </m:sub>
        </m:sSub>
      </m:oMath>
      <w:r>
        <w:rPr>
          <w:rFonts w:hint="eastAsia" w:ascii="Cambria Math" w:hAnsi="Cambria Math" w:cs="Times New Roman"/>
        </w:rPr>
        <w:t>：二级加载重量。</w:t>
      </w:r>
    </w:p>
    <w:p>
      <w:pPr>
        <w:ind w:firstLine="0" w:firstLineChars="0"/>
        <w:rPr>
          <w:rFonts w:cs="Times New Roman"/>
          <w:b/>
          <w:bCs/>
        </w:rPr>
      </w:pPr>
      <w:r>
        <w:rPr>
          <w:rFonts w:cs="Times New Roman"/>
          <w:b/>
          <w:bCs/>
        </w:rPr>
        <w:t>一级加载（静载）30分</w:t>
      </w:r>
    </w:p>
    <w:p>
      <w:pPr>
        <w:spacing w:line="360" w:lineRule="auto"/>
        <w:ind w:firstLine="480"/>
        <w:rPr>
          <w:rFonts w:ascii="Cambria Math" w:hAnsi="Cambria Math" w:cs="Times New Roman"/>
        </w:rPr>
      </w:pPr>
      <w:r>
        <w:rPr>
          <w:rFonts w:ascii="Cambria Math" w:hAnsi="Cambria Math" w:cs="Times New Roman"/>
        </w:rPr>
        <w:t>计算荷重比</w:t>
      </w:r>
      <m:oMath>
        <m:sSub>
          <m:sSubPr>
            <m:ctrlPr>
              <w:rPr>
                <w:rFonts w:ascii="Cambria Math" w:hAnsi="Cambria Math" w:cs="Times New Roman"/>
              </w:rPr>
            </m:ctrlPr>
          </m:sSubPr>
          <m:e>
            <m:r>
              <m:rPr>
                <m:sty m:val="p"/>
              </m:rPr>
              <w:rPr>
                <w:rFonts w:hint="eastAsia" w:ascii="Cambria Math" w:hAnsi="Cambria Math" w:cs="Times New Roman"/>
              </w:rPr>
              <m:t>k</m:t>
            </m:r>
            <m:ctrlPr>
              <w:rPr>
                <w:rFonts w:ascii="Cambria Math" w:hAnsi="Cambria Math" w:cs="Times New Roman"/>
              </w:rPr>
            </m:ctrlPr>
          </m:e>
          <m:sub>
            <m:r>
              <m:rPr>
                <m:sty m:val="p"/>
              </m:rPr>
              <w:rPr>
                <w:rFonts w:ascii="Cambria Math" w:hAnsi="Cambria Math" w:cs="Times New Roman"/>
              </w:rPr>
              <m:t>1</m:t>
            </m:r>
            <m:ctrlPr>
              <w:rPr>
                <w:rFonts w:ascii="Cambria Math" w:hAnsi="Cambria Math" w:cs="Times New Roman"/>
              </w:rPr>
            </m:ctrlPr>
          </m:sub>
        </m:sSub>
      </m:oMath>
      <w:r>
        <w:rPr>
          <w:rFonts w:ascii="Cambria Math" w:hAnsi="Cambria Math" w:cs="Times New Roman"/>
        </w:rPr>
        <w:t>=</w:t>
      </w:r>
      <m:oMath>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1</m:t>
                </m:r>
                <m:ctrlPr>
                  <w:rPr>
                    <w:rFonts w:ascii="Cambria Math" w:hAnsi="Cambria Math" w:cs="Times New Roman"/>
                  </w:rPr>
                </m:ctrlPr>
              </m:sub>
            </m:sSub>
            <m:ctrlPr>
              <w:rPr>
                <w:rFonts w:ascii="Cambria Math" w:hAnsi="Cambria Math" w:cs="Times New Roman"/>
              </w:rPr>
            </m:ctrlPr>
          </m:num>
          <m:den>
            <m:sSub>
              <m:sSubPr>
                <m:ctrlPr>
                  <w:rPr>
                    <w:rFonts w:ascii="Cambria Math" w:hAnsi="Cambria Math" w:cs="Times New Roman"/>
                  </w:rPr>
                </m:ctrlPr>
              </m:sSubPr>
              <m:e>
                <m:r>
                  <m:rPr>
                    <m:sty m:val="p"/>
                  </m:rPr>
                  <w:rPr>
                    <w:rFonts w:ascii="Cambria Math" w:hAnsi="Cambria Math" w:cs="Times New Roman"/>
                  </w:rPr>
                  <m:t>m</m:t>
                </m:r>
                <m:ctrlPr>
                  <w:rPr>
                    <w:rFonts w:ascii="Cambria Math" w:hAnsi="Cambria Math" w:cs="Times New Roman"/>
                  </w:rPr>
                </m:ctrlPr>
              </m:e>
              <m:sub>
                <m:r>
                  <m:rPr>
                    <m:sty m:val="p"/>
                  </m:rPr>
                  <w:rPr>
                    <w:rFonts w:ascii="Cambria Math" w:hAnsi="Cambria Math" w:cs="Times New Roman"/>
                  </w:rPr>
                  <m:t>i</m:t>
                </m:r>
                <m:ctrlPr>
                  <w:rPr>
                    <w:rFonts w:ascii="Cambria Math" w:hAnsi="Cambria Math" w:cs="Times New Roman"/>
                  </w:rPr>
                </m:ctrlPr>
              </m:sub>
            </m:sSub>
            <m:ctrlPr>
              <w:rPr>
                <w:rFonts w:ascii="Cambria Math" w:hAnsi="Cambria Math" w:cs="Times New Roman"/>
              </w:rPr>
            </m:ctrlPr>
          </m:den>
        </m:f>
      </m:oMath>
      <w:r>
        <w:rPr>
          <w:rFonts w:ascii="Cambria Math" w:hAnsi="Cambria Math" w:cs="Times New Roman"/>
        </w:rPr>
        <w:t>​，记所有队伍中最大的荷重比为</w:t>
      </w:r>
      <m:oMath>
        <m:sSub>
          <m:sSubPr>
            <m:ctrlPr>
              <w:rPr>
                <w:rFonts w:ascii="Cambria Math" w:hAnsi="Cambria Math" w:cs="Times New Roman"/>
              </w:rPr>
            </m:ctrlPr>
          </m:sSubPr>
          <m:e>
            <m:r>
              <m:rPr>
                <m:sty m:val="p"/>
              </m:rPr>
              <w:rPr>
                <w:rFonts w:hint="eastAsia" w:ascii="Cambria Math" w:hAnsi="Cambria Math" w:cs="Times New Roman"/>
              </w:rPr>
              <m:t>k</m:t>
            </m:r>
            <m:ctrlPr>
              <w:rPr>
                <w:rFonts w:ascii="Cambria Math" w:hAnsi="Cambria Math" w:cs="Times New Roman"/>
              </w:rPr>
            </m:ctrlPr>
          </m:e>
          <m:sub>
            <m:r>
              <m:rPr>
                <m:sty m:val="p"/>
              </m:rPr>
              <w:rPr>
                <w:rFonts w:ascii="Cambria Math" w:hAnsi="Cambria Math" w:cs="Times New Roman"/>
              </w:rPr>
              <m:t>1max</m:t>
            </m:r>
            <m:ctrlPr>
              <w:rPr>
                <w:rFonts w:ascii="Cambria Math" w:hAnsi="Cambria Math" w:cs="Times New Roman"/>
              </w:rPr>
            </m:ctrlPr>
          </m:sub>
        </m:sSub>
      </m:oMath>
      <w:r>
        <w:rPr>
          <w:rFonts w:ascii="Cambria Math" w:hAnsi="Cambria Math" w:cs="Times New Roman"/>
        </w:rPr>
        <w:t>。</w:t>
      </w:r>
    </w:p>
    <w:p>
      <w:pPr>
        <w:spacing w:line="360" w:lineRule="auto"/>
        <w:ind w:firstLine="480"/>
        <w:rPr>
          <w:rFonts w:ascii="Cambria Math" w:hAnsi="Cambria Math" w:cs="Times New Roman"/>
        </w:rPr>
      </w:pPr>
      <w:r>
        <w:rPr>
          <w:rFonts w:ascii="Cambria Math" w:hAnsi="Cambria Math" w:cs="Times New Roman"/>
        </w:rPr>
        <w:t>得分</w:t>
      </w:r>
      <m:oMath>
        <m:sSub>
          <m:sSubPr>
            <m:ctrlPr>
              <w:rPr>
                <w:rFonts w:hint="eastAsia" w:ascii="Cambria Math" w:hAnsi="Cambria Math" w:cs="Times New Roman"/>
              </w:rPr>
            </m:ctrlPr>
          </m:sSubPr>
          <m:e>
            <m:r>
              <m:rPr>
                <m:sty m:val="p"/>
              </m:rPr>
              <w:rPr>
                <w:rFonts w:ascii="Cambria Math" w:hAnsi="Cambria Math" w:cs="Times New Roman"/>
              </w:rPr>
              <m:t>s</m:t>
            </m:r>
            <m:ctrlPr>
              <w:rPr>
                <w:rFonts w:hint="eastAsia" w:ascii="Cambria Math" w:hAnsi="Cambria Math" w:cs="Times New Roman"/>
              </w:rPr>
            </m:ctrlPr>
          </m:e>
          <m:sub>
            <m:r>
              <m:rPr>
                <m:sty m:val="p"/>
              </m:rPr>
              <w:rPr>
                <w:rFonts w:ascii="Cambria Math" w:hAnsi="Cambria Math" w:cs="Times New Roman"/>
              </w:rPr>
              <m:t>1</m:t>
            </m:r>
            <m:ctrlPr>
              <w:rPr>
                <w:rFonts w:hint="eastAsia" w:ascii="Cambria Math" w:hAnsi="Cambria Math" w:cs="Times New Roman"/>
              </w:rPr>
            </m:ctrlP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30</m:t>
            </m:r>
            <m:sSub>
              <m:sSubPr>
                <m:ctrlPr>
                  <w:rPr>
                    <w:rFonts w:ascii="Cambria Math" w:hAnsi="Cambria Math" w:cs="Times New Roman"/>
                  </w:rPr>
                </m:ctrlPr>
              </m:sSubPr>
              <m:e>
                <m:r>
                  <m:rPr>
                    <m:sty m:val="p"/>
                  </m:rPr>
                  <w:rPr>
                    <w:rFonts w:ascii="Cambria Math" w:hAnsi="Cambria Math" w:cs="Times New Roman"/>
                  </w:rPr>
                  <m:t>k</m:t>
                </m:r>
                <m:ctrlPr>
                  <w:rPr>
                    <w:rFonts w:ascii="Cambria Math" w:hAnsi="Cambria Math" w:cs="Times New Roman"/>
                  </w:rPr>
                </m:ctrlPr>
              </m:e>
              <m:sub>
                <m:r>
                  <m:rPr>
                    <m:sty m:val="p"/>
                  </m:rPr>
                  <w:rPr>
                    <w:rFonts w:ascii="Cambria Math" w:hAnsi="Cambria Math" w:cs="Times New Roman"/>
                  </w:rPr>
                  <m:t>1</m:t>
                </m:r>
                <m:ctrlPr>
                  <w:rPr>
                    <w:rFonts w:ascii="Cambria Math" w:hAnsi="Cambria Math" w:cs="Times New Roman"/>
                  </w:rPr>
                </m:ctrlPr>
              </m:sub>
            </m:sSub>
            <m:ctrlPr>
              <w:rPr>
                <w:rFonts w:ascii="Cambria Math" w:hAnsi="Cambria Math" w:cs="Times New Roman"/>
              </w:rPr>
            </m:ctrlPr>
          </m:num>
          <m:den>
            <m:sSub>
              <m:sSubPr>
                <m:ctrlPr>
                  <w:rPr>
                    <w:rFonts w:ascii="Cambria Math" w:hAnsi="Cambria Math" w:cs="Times New Roman"/>
                  </w:rPr>
                </m:ctrlPr>
              </m:sSubPr>
              <m:e>
                <m:r>
                  <m:rPr>
                    <m:sty m:val="p"/>
                  </m:rPr>
                  <w:rPr>
                    <w:rFonts w:ascii="Cambria Math" w:hAnsi="Cambria Math" w:cs="Times New Roman"/>
                  </w:rPr>
                  <m:t>k</m:t>
                </m:r>
                <m:ctrlPr>
                  <w:rPr>
                    <w:rFonts w:ascii="Cambria Math" w:hAnsi="Cambria Math" w:cs="Times New Roman"/>
                  </w:rPr>
                </m:ctrlPr>
              </m:e>
              <m:sub>
                <m:r>
                  <m:rPr>
                    <m:sty m:val="p"/>
                  </m:rPr>
                  <w:rPr>
                    <w:rFonts w:ascii="Cambria Math" w:hAnsi="Cambria Math" w:cs="Times New Roman"/>
                  </w:rPr>
                  <m:t>1max</m:t>
                </m:r>
                <m:ctrlPr>
                  <w:rPr>
                    <w:rFonts w:ascii="Cambria Math" w:hAnsi="Cambria Math" w:cs="Times New Roman"/>
                  </w:rPr>
                </m:ctrlPr>
              </m:sub>
            </m:sSub>
            <m:ctrlPr>
              <w:rPr>
                <w:rFonts w:ascii="Cambria Math" w:hAnsi="Cambria Math" w:cs="Times New Roman"/>
              </w:rPr>
            </m:ctrlPr>
          </m:den>
        </m:f>
      </m:oMath>
    </w:p>
    <w:p>
      <w:pPr>
        <w:ind w:firstLine="0" w:firstLineChars="0"/>
        <w:rPr>
          <w:rFonts w:cs="Times New Roman"/>
          <w:b/>
          <w:bCs/>
        </w:rPr>
      </w:pPr>
      <w:r>
        <w:rPr>
          <w:rFonts w:cs="Times New Roman"/>
          <w:b/>
          <w:bCs/>
        </w:rPr>
        <w:t>二级加载（动载）40分</w:t>
      </w:r>
    </w:p>
    <w:p>
      <w:pPr>
        <w:spacing w:line="360" w:lineRule="auto"/>
        <w:ind w:firstLine="480"/>
        <w:rPr>
          <w:rFonts w:ascii="Cambria Math" w:hAnsi="Cambria Math" w:cs="Times New Roman"/>
        </w:rPr>
      </w:pPr>
      <w:r>
        <w:rPr>
          <w:rFonts w:ascii="Cambria Math" w:hAnsi="Cambria Math" w:cs="Times New Roman"/>
        </w:rPr>
        <w:t>计算荷重比</w:t>
      </w:r>
      <m:oMath>
        <m:sSub>
          <m:sSubPr>
            <m:ctrlPr>
              <w:rPr>
                <w:rFonts w:ascii="Cambria Math" w:hAnsi="Cambria Math" w:cs="Times New Roman"/>
              </w:rPr>
            </m:ctrlPr>
          </m:sSubPr>
          <m:e>
            <m:r>
              <m:rPr>
                <m:sty m:val="p"/>
              </m:rPr>
              <w:rPr>
                <w:rFonts w:hint="eastAsia" w:ascii="Cambria Math" w:hAnsi="Cambria Math" w:cs="Times New Roman"/>
              </w:rPr>
              <m:t>k</m:t>
            </m:r>
            <m:ctrlPr>
              <w:rPr>
                <w:rFonts w:ascii="Cambria Math" w:hAnsi="Cambria Math" w:cs="Times New Roman"/>
              </w:rPr>
            </m:ctrlPr>
          </m:e>
          <m:sub>
            <m:r>
              <m:rPr>
                <m:sty m:val="p"/>
              </m:rPr>
              <w:rPr>
                <w:rFonts w:ascii="Cambria Math" w:hAnsi="Cambria Math" w:cs="Times New Roman"/>
              </w:rPr>
              <m:t>2</m:t>
            </m:r>
            <m:ctrlPr>
              <w:rPr>
                <w:rFonts w:ascii="Cambria Math" w:hAnsi="Cambria Math" w:cs="Times New Roman"/>
              </w:rPr>
            </m:ctrlPr>
          </m:sub>
        </m:sSub>
      </m:oMath>
      <w:r>
        <w:rPr>
          <w:rFonts w:ascii="Cambria Math" w:hAnsi="Cambria Math" w:cs="Times New Roman"/>
        </w:rPr>
        <w:t>=</w:t>
      </w:r>
      <m:oMath>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2</m:t>
                </m:r>
                <m:ctrlPr>
                  <w:rPr>
                    <w:rFonts w:ascii="Cambria Math" w:hAnsi="Cambria Math" w:cs="Times New Roman"/>
                  </w:rPr>
                </m:ctrlPr>
              </m:sub>
            </m:sSub>
            <m:ctrlPr>
              <w:rPr>
                <w:rFonts w:ascii="Cambria Math" w:hAnsi="Cambria Math" w:cs="Times New Roman"/>
              </w:rPr>
            </m:ctrlPr>
          </m:num>
          <m:den>
            <m:sSub>
              <m:sSubPr>
                <m:ctrlPr>
                  <w:rPr>
                    <w:rFonts w:ascii="Cambria Math" w:hAnsi="Cambria Math" w:cs="Times New Roman"/>
                  </w:rPr>
                </m:ctrlPr>
              </m:sSubPr>
              <m:e>
                <m:r>
                  <m:rPr>
                    <m:sty m:val="p"/>
                  </m:rPr>
                  <w:rPr>
                    <w:rFonts w:ascii="Cambria Math" w:hAnsi="Cambria Math" w:cs="Times New Roman"/>
                  </w:rPr>
                  <m:t>m</m:t>
                </m:r>
                <m:ctrlPr>
                  <w:rPr>
                    <w:rFonts w:ascii="Cambria Math" w:hAnsi="Cambria Math" w:cs="Times New Roman"/>
                  </w:rPr>
                </m:ctrlPr>
              </m:e>
              <m:sub>
                <m:r>
                  <m:rPr>
                    <m:sty m:val="p"/>
                  </m:rPr>
                  <w:rPr>
                    <w:rFonts w:ascii="Cambria Math" w:hAnsi="Cambria Math" w:cs="Times New Roman"/>
                  </w:rPr>
                  <m:t>i</m:t>
                </m:r>
                <m:ctrlPr>
                  <w:rPr>
                    <w:rFonts w:ascii="Cambria Math" w:hAnsi="Cambria Math" w:cs="Times New Roman"/>
                  </w:rPr>
                </m:ctrlPr>
              </m:sub>
            </m:sSub>
            <m:ctrlPr>
              <w:rPr>
                <w:rFonts w:ascii="Cambria Math" w:hAnsi="Cambria Math" w:cs="Times New Roman"/>
              </w:rPr>
            </m:ctrlPr>
          </m:den>
        </m:f>
      </m:oMath>
      <w:r>
        <w:rPr>
          <w:rFonts w:ascii="Cambria Math" w:hAnsi="Cambria Math" w:cs="Times New Roman"/>
        </w:rPr>
        <w:t>，记所有队伍中最大的荷重比为</w:t>
      </w:r>
      <m:oMath>
        <m:sSub>
          <m:sSubPr>
            <m:ctrlPr>
              <w:rPr>
                <w:rFonts w:ascii="Cambria Math" w:hAnsi="Cambria Math" w:cs="Times New Roman"/>
              </w:rPr>
            </m:ctrlPr>
          </m:sSubPr>
          <m:e>
            <m:r>
              <m:rPr>
                <m:sty m:val="p"/>
              </m:rPr>
              <w:rPr>
                <w:rFonts w:ascii="Cambria Math" w:hAnsi="Cambria Math" w:cs="Times New Roman"/>
              </w:rPr>
              <m:t>k</m:t>
            </m:r>
            <m:ctrlPr>
              <w:rPr>
                <w:rFonts w:ascii="Cambria Math" w:hAnsi="Cambria Math" w:cs="Times New Roman"/>
              </w:rPr>
            </m:ctrlPr>
          </m:e>
          <m:sub>
            <m:r>
              <m:rPr>
                <m:sty m:val="p"/>
              </m:rPr>
              <w:rPr>
                <w:rFonts w:ascii="Cambria Math" w:hAnsi="Cambria Math" w:cs="Times New Roman"/>
              </w:rPr>
              <m:t>2max</m:t>
            </m:r>
            <m:ctrlPr>
              <w:rPr>
                <w:rFonts w:ascii="Cambria Math" w:hAnsi="Cambria Math" w:cs="Times New Roman"/>
              </w:rPr>
            </m:ctrlPr>
          </m:sub>
        </m:sSub>
      </m:oMath>
      <w:r>
        <w:rPr>
          <w:rFonts w:ascii="Cambria Math" w:hAnsi="Cambria Math" w:cs="Times New Roman"/>
        </w:rPr>
        <w:t>。</w:t>
      </w:r>
    </w:p>
    <w:p>
      <w:pPr>
        <w:spacing w:line="360" w:lineRule="auto"/>
        <w:ind w:firstLine="480"/>
        <w:rPr>
          <w:rFonts w:ascii="Cambria Math" w:hAnsi="Cambria Math" w:cs="Times New Roman"/>
        </w:rPr>
      </w:pPr>
      <w:r>
        <w:rPr>
          <w:rFonts w:ascii="Cambria Math" w:hAnsi="Cambria Math" w:cs="Times New Roman"/>
        </w:rPr>
        <w:t>得分</w:t>
      </w:r>
      <m:oMath>
        <m:sSub>
          <m:sSubPr>
            <m:ctrlPr>
              <w:rPr>
                <w:rFonts w:ascii="Cambria Math" w:hAnsi="Cambria Math" w:cs="Times New Roman"/>
              </w:rPr>
            </m:ctrlPr>
          </m:sSubPr>
          <m:e>
            <m:r>
              <m:rPr>
                <m:sty m:val="p"/>
              </m:rPr>
              <w:rPr>
                <w:rFonts w:ascii="Cambria Math" w:hAnsi="Cambria Math" w:cs="Times New Roman"/>
              </w:rPr>
              <m:t>s</m:t>
            </m:r>
            <m:ctrlPr>
              <w:rPr>
                <w:rFonts w:ascii="Cambria Math" w:hAnsi="Cambria Math" w:cs="Times New Roman"/>
              </w:rPr>
            </m:ctrlPr>
          </m:e>
          <m:sub>
            <m:r>
              <m:rPr>
                <m:sty m:val="p"/>
              </m:rPr>
              <w:rPr>
                <w:rFonts w:ascii="Cambria Math" w:hAnsi="Cambria Math" w:cs="Times New Roman"/>
              </w:rPr>
              <m:t>2</m:t>
            </m:r>
            <m:ctrlPr>
              <w:rPr>
                <w:rFonts w:ascii="Cambria Math" w:hAnsi="Cambria Math" w:cs="Times New Roman"/>
              </w:rPr>
            </m:ctrlP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40</m:t>
            </m:r>
            <m:sSub>
              <m:sSubPr>
                <m:ctrlPr>
                  <w:rPr>
                    <w:rFonts w:ascii="Cambria Math" w:hAnsi="Cambria Math" w:cs="Times New Roman"/>
                  </w:rPr>
                </m:ctrlPr>
              </m:sSubPr>
              <m:e>
                <m:r>
                  <m:rPr>
                    <m:sty m:val="p"/>
                  </m:rPr>
                  <w:rPr>
                    <w:rFonts w:ascii="Cambria Math" w:hAnsi="Cambria Math" w:cs="Times New Roman"/>
                  </w:rPr>
                  <m:t>k</m:t>
                </m:r>
                <m:ctrlPr>
                  <w:rPr>
                    <w:rFonts w:ascii="Cambria Math" w:hAnsi="Cambria Math" w:cs="Times New Roman"/>
                  </w:rPr>
                </m:ctrlPr>
              </m:e>
              <m:sub>
                <m:r>
                  <m:rPr>
                    <m:sty m:val="p"/>
                  </m:rPr>
                  <w:rPr>
                    <w:rFonts w:ascii="Cambria Math" w:hAnsi="Cambria Math" w:cs="Times New Roman"/>
                  </w:rPr>
                  <m:t>2</m:t>
                </m:r>
                <m:ctrlPr>
                  <w:rPr>
                    <w:rFonts w:ascii="Cambria Math" w:hAnsi="Cambria Math" w:cs="Times New Roman"/>
                  </w:rPr>
                </m:ctrlPr>
              </m:sub>
            </m:sSub>
            <m:ctrlPr>
              <w:rPr>
                <w:rFonts w:ascii="Cambria Math" w:hAnsi="Cambria Math" w:cs="Times New Roman"/>
              </w:rPr>
            </m:ctrlPr>
          </m:num>
          <m:den>
            <m:sSub>
              <m:sSubPr>
                <m:ctrlPr>
                  <w:rPr>
                    <w:rFonts w:ascii="Cambria Math" w:hAnsi="Cambria Math" w:cs="Times New Roman"/>
                  </w:rPr>
                </m:ctrlPr>
              </m:sSubPr>
              <m:e>
                <m:r>
                  <m:rPr>
                    <m:sty m:val="p"/>
                  </m:rPr>
                  <w:rPr>
                    <w:rFonts w:ascii="Cambria Math" w:hAnsi="Cambria Math" w:cs="Times New Roman"/>
                  </w:rPr>
                  <m:t>k</m:t>
                </m:r>
                <m:ctrlPr>
                  <w:rPr>
                    <w:rFonts w:ascii="Cambria Math" w:hAnsi="Cambria Math" w:cs="Times New Roman"/>
                  </w:rPr>
                </m:ctrlPr>
              </m:e>
              <m:sub>
                <m:r>
                  <m:rPr>
                    <m:sty m:val="p"/>
                  </m:rPr>
                  <w:rPr>
                    <w:rFonts w:ascii="Cambria Math" w:hAnsi="Cambria Math" w:cs="Times New Roman"/>
                  </w:rPr>
                  <m:t>2max</m:t>
                </m:r>
                <m:ctrlPr>
                  <w:rPr>
                    <w:rFonts w:ascii="Cambria Math" w:hAnsi="Cambria Math" w:cs="Times New Roman"/>
                  </w:rPr>
                </m:ctrlPr>
              </m:sub>
            </m:sSub>
            <m:ctrlPr>
              <w:rPr>
                <w:rFonts w:ascii="Cambria Math" w:hAnsi="Cambria Math" w:cs="Times New Roman"/>
              </w:rPr>
            </m:ctrlPr>
          </m:den>
        </m:f>
      </m:oMath>
      <w:r>
        <w:rPr>
          <w:rFonts w:ascii="Cambria Math" w:hAnsi="Cambria Math" w:cs="Times New Roman"/>
        </w:rPr>
        <w:t>。</w:t>
      </w:r>
    </w:p>
    <w:p>
      <w:pPr>
        <w:spacing w:line="360" w:lineRule="auto"/>
        <w:ind w:firstLine="480"/>
        <w:rPr>
          <w:rFonts w:ascii="Cambria Math" w:hAnsi="Cambria Math" w:cs="Times New Roman"/>
        </w:rPr>
      </w:pPr>
      <w:r>
        <w:rPr>
          <w:rFonts w:ascii="Cambria Math" w:hAnsi="Cambria Math" w:cs="Times New Roman"/>
        </w:rPr>
        <w:t>注：若一级加载失败，出于安全考虑，不允许参加二级加载，二级加载成绩自动计为0。</w:t>
      </w:r>
    </w:p>
    <w:p>
      <w:pPr>
        <w:spacing w:line="360" w:lineRule="auto"/>
        <w:ind w:firstLine="0" w:firstLineChars="0"/>
        <w:rPr>
          <w:rFonts w:hint="eastAsia" w:ascii="楷体" w:hAnsi="楷体" w:cs="Times New Roman"/>
          <w:b/>
          <w:bCs/>
        </w:rPr>
      </w:pPr>
      <w:r>
        <w:rPr>
          <w:rFonts w:hint="eastAsia" w:ascii="楷体" w:hAnsi="楷体" w:cs="Times New Roman"/>
          <w:b/>
          <w:bCs/>
        </w:rPr>
        <w:t xml:space="preserve"> E．挠度分 10分</w:t>
      </w:r>
    </w:p>
    <w:p>
      <w:pPr>
        <w:spacing w:line="360" w:lineRule="auto"/>
        <w:ind w:firstLine="490" w:firstLineChars="0"/>
        <w:jc w:val="both"/>
        <w:rPr>
          <w:rFonts w:ascii="Cambria Math" w:hAnsi="Cambria Math" w:cs="Times New Roman"/>
          <w:iCs/>
        </w:rPr>
      </w:pPr>
      <w:r>
        <w:rPr>
          <w:rFonts w:hint="eastAsia" w:ascii="楷体" w:hAnsi="楷体" w:cs="Times New Roman"/>
          <w:b/>
          <w:bCs/>
        </w:rPr>
        <w:t>参数说明：</w:t>
      </w:r>
      <m:oMath>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1</m:t>
            </m:r>
            <m:ctrlPr>
              <w:rPr>
                <w:rFonts w:ascii="Cambria Math" w:hAnsi="Cambria Math" w:cs="Times New Roman"/>
              </w:rPr>
            </m:ctrlPr>
          </m:sub>
        </m:sSub>
        <m:r>
          <m:rPr>
            <m:sty m:val="p"/>
          </m:rPr>
          <w:rPr>
            <w:rFonts w:ascii="Cambria Math" w:hAnsi="Cambria Math" w:cs="Times New Roman"/>
          </w:rPr>
          <m:t xml:space="preserve"> </m:t>
        </m:r>
      </m:oMath>
      <w:r>
        <w:rPr>
          <w:rFonts w:hint="eastAsia" w:ascii="Cambria Math" w:hAnsi="Cambria Math" w:cs="Times New Roman"/>
        </w:rPr>
        <w:t>：一级加载单层重量；</w:t>
      </w:r>
      <m:oMath>
        <m:sSub>
          <m:sSubPr>
            <m:ctrlPr>
              <w:rPr>
                <w:rFonts w:ascii="Cambria Math" w:hAnsi="Cambria Math" w:cs="Times New Roman"/>
              </w:rPr>
            </m:ctrlPr>
          </m:sSubPr>
          <m:e>
            <m:r>
              <m:rPr>
                <m:sty m:val="p"/>
              </m:rPr>
              <w:rPr>
                <w:rFonts w:ascii="Cambria Math" w:hAnsi="Cambria Math" w:cs="Times New Roman"/>
              </w:rPr>
              <m:t>w</m:t>
            </m:r>
            <m:ctrlPr>
              <w:rPr>
                <w:rFonts w:ascii="Cambria Math" w:hAnsi="Cambria Math" w:cs="Times New Roman"/>
              </w:rPr>
            </m:ctrlPr>
          </m:e>
          <m:sub>
            <m:r>
              <m:rPr>
                <m:sty m:val="p"/>
              </m:rPr>
              <w:rPr>
                <w:rFonts w:ascii="Cambria Math" w:hAnsi="Cambria Math" w:cs="Times New Roman"/>
              </w:rPr>
              <m:t>2</m:t>
            </m:r>
            <m:ctrlPr>
              <w:rPr>
                <w:rFonts w:ascii="Cambria Math" w:hAnsi="Cambria Math" w:cs="Times New Roman"/>
              </w:rPr>
            </m:ctrlPr>
          </m:sub>
        </m:sSub>
      </m:oMath>
      <w:r>
        <w:rPr>
          <w:rFonts w:hint="eastAsia" w:ascii="Cambria Math" w:hAnsi="Cambria Math" w:cs="Times New Roman"/>
        </w:rPr>
        <w:t>：二级加载重量 ；</w:t>
      </w:r>
      <w:r>
        <w:rPr>
          <w:rFonts w:ascii="Cambria Math" w:hAnsi="Cambria Math" w:cs="Times New Roman"/>
          <w:i/>
        </w:rPr>
        <w:t xml:space="preserve"> </w:t>
      </w:r>
      <m:oMath>
        <m:r>
          <m:rPr/>
          <w:rPr>
            <w:rFonts w:ascii="Cambria Math" w:hAnsi="Cambria Math" w:cs="Times New Roman"/>
          </w:rPr>
          <m:t>δ</m:t>
        </m:r>
      </m:oMath>
      <w:r>
        <w:rPr>
          <w:rFonts w:hint="eastAsia" w:ascii="Cambria Math" w:hAnsi="Cambria Math" w:cs="Times New Roman"/>
          <w:iCs/>
          <w:vertAlign w:val="subscript"/>
        </w:rPr>
        <w:t xml:space="preserve">1 </w:t>
      </w:r>
      <w:r>
        <w:rPr>
          <w:rFonts w:hint="eastAsia" w:ascii="Cambria Math" w:hAnsi="Cambria Math" w:cs="Times New Roman"/>
          <w:iCs/>
        </w:rPr>
        <w:t>：一级加载跨中竖向位移的最大值；</w:t>
      </w:r>
      <m:oMath>
        <m:r>
          <m:rPr/>
          <w:rPr>
            <w:rFonts w:ascii="Cambria Math" w:hAnsi="Cambria Math" w:cs="Times New Roman"/>
          </w:rPr>
          <m:t>δ</m:t>
        </m:r>
      </m:oMath>
      <w:r>
        <w:rPr>
          <w:rFonts w:hint="eastAsia" w:ascii="Cambria Math" w:hAnsi="Cambria Math" w:cs="Times New Roman"/>
          <w:iCs/>
          <w:vertAlign w:val="subscript"/>
        </w:rPr>
        <w:t>2</w:t>
      </w:r>
      <w:r>
        <w:rPr>
          <w:rFonts w:hint="eastAsia" w:ascii="Cambria Math" w:hAnsi="Cambria Math" w:cs="Times New Roman"/>
          <w:iCs/>
        </w:rPr>
        <w:t>：二级加载跨中竖向位移的最大值</w:t>
      </w:r>
    </w:p>
    <w:p>
      <w:pPr>
        <w:spacing w:line="360" w:lineRule="auto"/>
        <w:ind w:firstLineChars="0"/>
        <w:jc w:val="both"/>
        <w:rPr>
          <w:rFonts w:ascii="Cambria Math" w:hAnsi="Cambria Math" w:cs="Times New Roman"/>
          <w:iCs/>
        </w:rPr>
      </w:pPr>
      <w:r>
        <w:rPr>
          <w:rFonts w:hint="eastAsia" w:ascii="Cambria Math" w:hAnsi="Cambria Math" w:cs="Times New Roman"/>
          <w:iCs/>
        </w:rPr>
        <w:t>一级加载中挠度分（6分）</w:t>
      </w:r>
    </w:p>
    <w:p>
      <w:pPr>
        <w:spacing w:line="360" w:lineRule="auto"/>
        <w:ind w:firstLine="490" w:firstLineChars="0"/>
        <w:jc w:val="both"/>
        <w:rPr>
          <w:rFonts w:hint="eastAsia" w:ascii="楷体" w:hAnsi="楷体" w:cs="Times New Roman"/>
          <w:iCs/>
        </w:rPr>
      </w:pPr>
      <w:r>
        <w:rPr>
          <w:rFonts w:hint="eastAsia" w:ascii="楷体" w:hAnsi="楷体" w:cs="Times New Roman"/>
          <w:iCs/>
        </w:rPr>
        <w:t xml:space="preserve">  计算刚度</w:t>
      </w:r>
      <m:oMath>
        <m:sSub>
          <m:sSubPr>
            <m:ctrlPr>
              <w:rPr>
                <w:rFonts w:ascii="Cambria Math" w:hAnsi="Cambria Math" w:cs="Times New Roman"/>
                <w:i/>
                <w:iCs/>
              </w:rPr>
            </m:ctrlPr>
          </m:sSubPr>
          <m:e>
            <m:r>
              <m:rPr/>
              <w:rPr>
                <w:rFonts w:ascii="Cambria Math" w:hAnsi="Cambria Math" w:cs="Times New Roman"/>
              </w:rPr>
              <m:t>η</m:t>
            </m:r>
            <m:ctrlPr>
              <w:rPr>
                <w:rFonts w:ascii="Cambria Math" w:hAnsi="Cambria Math" w:cs="Times New Roman"/>
                <w:i/>
                <w:iCs/>
              </w:rPr>
            </m:ctrlPr>
          </m:e>
          <m:sub>
            <m:r>
              <m:rPr/>
              <w:rPr>
                <w:rFonts w:hint="eastAsia" w:ascii="Cambria Math" w:hAnsi="Cambria Math" w:cs="Times New Roman"/>
              </w:rPr>
              <m:t>i</m:t>
            </m:r>
            <m:ctrlPr>
              <w:rPr>
                <w:rFonts w:ascii="Cambria Math" w:hAnsi="Cambria Math" w:cs="Times New Roman"/>
                <w:i/>
                <w:iCs/>
              </w:rPr>
            </m:ctrlPr>
          </m:sub>
        </m:sSub>
        <m:r>
          <m:rPr/>
          <w:rPr>
            <w:rFonts w:ascii="Cambria Math" w:hAnsi="Cambria Math" w:cs="Times New Roman"/>
          </w:rPr>
          <m:t>=</m:t>
        </m:r>
        <m:f>
          <m:fPr>
            <m:ctrlPr>
              <w:rPr>
                <w:rFonts w:ascii="Cambria Math" w:hAnsi="Cambria Math" w:cs="Times New Roman"/>
                <w:i/>
                <w:iCs/>
              </w:rPr>
            </m:ctrlPr>
          </m:fPr>
          <m:num>
            <m:r>
              <m:rPr/>
              <w:rPr>
                <w:rFonts w:ascii="Cambria Math" w:hAnsi="Cambria Math" w:cs="Times New Roman"/>
              </w:rPr>
              <m:t>2</m:t>
            </m:r>
            <m:sSub>
              <m:sSubPr>
                <m:ctrlPr>
                  <w:rPr>
                    <w:rFonts w:ascii="Cambria Math" w:hAnsi="Cambria Math" w:cs="Times New Roman"/>
                    <w:i/>
                    <w:iCs/>
                  </w:rPr>
                </m:ctrlPr>
              </m:sSubPr>
              <m:e>
                <m:r>
                  <m:rPr/>
                  <w:rPr>
                    <w:rFonts w:hint="eastAsia" w:ascii="Cambria Math" w:hAnsi="Cambria Math" w:cs="Times New Roman"/>
                  </w:rPr>
                  <m:t>w</m:t>
                </m:r>
                <m:ctrlPr>
                  <w:rPr>
                    <w:rFonts w:ascii="Cambria Math" w:hAnsi="Cambria Math" w:cs="Times New Roman"/>
                    <w:i/>
                    <w:iCs/>
                  </w:rPr>
                </m:ctrlPr>
              </m:e>
              <m:sub>
                <m:r>
                  <m:rPr/>
                  <w:rPr>
                    <w:rFonts w:ascii="Cambria Math" w:hAnsi="Cambria Math" w:cs="Times New Roman"/>
                  </w:rPr>
                  <m:t>1</m:t>
                </m:r>
                <m:ctrlPr>
                  <w:rPr>
                    <w:rFonts w:ascii="Cambria Math" w:hAnsi="Cambria Math" w:cs="Times New Roman"/>
                    <w:i/>
                    <w:iCs/>
                  </w:rPr>
                </m:ctrlPr>
              </m:sub>
            </m:sSub>
            <m:ctrlPr>
              <w:rPr>
                <w:rFonts w:ascii="Cambria Math" w:hAnsi="Cambria Math" w:cs="Times New Roman"/>
                <w:i/>
                <w:iCs/>
              </w:rPr>
            </m:ctrlPr>
          </m:num>
          <m:den>
            <m:sSub>
              <m:sSubPr>
                <m:ctrlPr>
                  <w:rPr>
                    <w:rFonts w:ascii="Cambria Math" w:hAnsi="Cambria Math" w:cs="Times New Roman"/>
                    <w:i/>
                    <w:iCs/>
                  </w:rPr>
                </m:ctrlPr>
              </m:sSubPr>
              <m:e>
                <m:r>
                  <m:rPr/>
                  <w:rPr>
                    <w:rFonts w:ascii="Cambria Math" w:hAnsi="Cambria Math" w:cs="Times New Roman"/>
                  </w:rPr>
                  <m:t>δ</m:t>
                </m:r>
                <m:ctrlPr>
                  <w:rPr>
                    <w:rFonts w:ascii="Cambria Math" w:hAnsi="Cambria Math" w:cs="Times New Roman"/>
                    <w:i/>
                    <w:iCs/>
                  </w:rPr>
                </m:ctrlPr>
              </m:e>
              <m:sub>
                <m:r>
                  <m:rPr/>
                  <w:rPr>
                    <w:rFonts w:ascii="Cambria Math" w:hAnsi="Cambria Math" w:cs="Times New Roman"/>
                  </w:rPr>
                  <m:t>1</m:t>
                </m:r>
                <m:ctrlPr>
                  <w:rPr>
                    <w:rFonts w:ascii="Cambria Math" w:hAnsi="Cambria Math" w:cs="Times New Roman"/>
                    <w:i/>
                    <w:iCs/>
                  </w:rPr>
                </m:ctrlPr>
              </m:sub>
            </m:sSub>
            <m:ctrlPr>
              <w:rPr>
                <w:rFonts w:ascii="Cambria Math" w:hAnsi="Cambria Math" w:cs="Times New Roman"/>
                <w:i/>
                <w:iCs/>
              </w:rPr>
            </m:ctrlPr>
          </m:den>
        </m:f>
      </m:oMath>
      <w:r>
        <w:rPr>
          <w:rFonts w:hint="eastAsia" w:ascii="楷体" w:hAnsi="楷体" w:cs="Times New Roman"/>
          <w:iCs/>
        </w:rPr>
        <w:t>，记所有通过队伍中最大的刚度为</w:t>
      </w:r>
      <m:oMath>
        <m:sSub>
          <m:sSubPr>
            <m:ctrlPr>
              <w:rPr>
                <w:rFonts w:ascii="Cambria Math" w:hAnsi="Cambria Math" w:cs="Times New Roman"/>
                <w:i/>
                <w:iCs/>
              </w:rPr>
            </m:ctrlPr>
          </m:sSubPr>
          <m:e>
            <m:r>
              <m:rPr/>
              <w:rPr>
                <w:rFonts w:ascii="Cambria Math" w:hAnsi="Cambria Math" w:cs="Times New Roman"/>
              </w:rPr>
              <m:t>η</m:t>
            </m:r>
            <m:ctrlPr>
              <w:rPr>
                <w:rFonts w:ascii="Cambria Math" w:hAnsi="Cambria Math" w:cs="Times New Roman"/>
                <w:i/>
                <w:iCs/>
              </w:rPr>
            </m:ctrlPr>
          </m:e>
          <m:sub>
            <m:r>
              <m:rPr/>
              <w:rPr>
                <w:rFonts w:hint="eastAsia" w:ascii="Cambria Math" w:hAnsi="Cambria Math" w:cs="Times New Roman"/>
              </w:rPr>
              <m:t>max</m:t>
            </m:r>
            <m:ctrlPr>
              <w:rPr>
                <w:rFonts w:ascii="Cambria Math" w:hAnsi="Cambria Math" w:cs="Times New Roman"/>
                <w:i/>
                <w:iCs/>
              </w:rPr>
            </m:ctrlPr>
          </m:sub>
        </m:sSub>
      </m:oMath>
    </w:p>
    <w:p>
      <w:pPr>
        <w:spacing w:line="360" w:lineRule="auto"/>
        <w:ind w:firstLine="490" w:firstLineChars="0"/>
        <w:jc w:val="both"/>
        <w:rPr>
          <w:rFonts w:hint="eastAsia" w:ascii="楷体" w:hAnsi="楷体" w:cs="Times New Roman"/>
          <w:iCs/>
        </w:rPr>
      </w:pPr>
      <w:r>
        <w:rPr>
          <w:rFonts w:hint="eastAsia" w:ascii="楷体" w:hAnsi="楷体" w:cs="Times New Roman"/>
          <w:iCs/>
        </w:rPr>
        <w:t xml:space="preserve">  得分</w:t>
      </w:r>
      <m:oMath>
        <m:sSub>
          <m:sSubPr>
            <m:ctrlPr>
              <w:rPr>
                <w:rFonts w:ascii="Cambria Math" w:hAnsi="Cambria Math" w:cs="Times New Roman"/>
                <w:i/>
                <w:iCs/>
              </w:rPr>
            </m:ctrlPr>
          </m:sSubPr>
          <m:e>
            <m:r>
              <m:rPr/>
              <w:rPr>
                <w:rFonts w:ascii="Cambria Math" w:hAnsi="Cambria Math" w:cs="Times New Roman"/>
              </w:rPr>
              <m:t>S</m:t>
            </m:r>
            <m:ctrlPr>
              <w:rPr>
                <w:rFonts w:ascii="Cambria Math" w:hAnsi="Cambria Math" w:cs="Times New Roman"/>
                <w:i/>
                <w:iCs/>
              </w:rPr>
            </m:ctrlPr>
          </m:e>
          <m:sub>
            <m:r>
              <m:rPr/>
              <w:rPr>
                <w:rFonts w:hint="eastAsia" w:ascii="Cambria Math" w:hAnsi="Cambria Math" w:cs="Times New Roman"/>
              </w:rPr>
              <m:t>i</m:t>
            </m:r>
            <m:ctrlPr>
              <w:rPr>
                <w:rFonts w:ascii="Cambria Math" w:hAnsi="Cambria Math" w:cs="Times New Roman"/>
                <w:i/>
                <w:iCs/>
              </w:rPr>
            </m:ctrlPr>
          </m:sub>
        </m:sSub>
        <m:r>
          <m:rPr/>
          <w:rPr>
            <w:rFonts w:ascii="Cambria Math" w:hAnsi="Cambria Math" w:cs="Times New Roman"/>
          </w:rPr>
          <m:t>=</m:t>
        </m:r>
        <m:f>
          <m:fPr>
            <m:ctrlPr>
              <w:rPr>
                <w:rFonts w:ascii="Cambria Math" w:hAnsi="Cambria Math" w:cs="Times New Roman"/>
                <w:i/>
                <w:iCs/>
              </w:rPr>
            </m:ctrlPr>
          </m:fPr>
          <m:num>
            <m:r>
              <m:rPr/>
              <w:rPr>
                <w:rFonts w:ascii="Cambria Math" w:hAnsi="Cambria Math" w:cs="Times New Roman"/>
              </w:rPr>
              <m:t>6</m:t>
            </m:r>
            <m:sSub>
              <m:sSubPr>
                <m:ctrlPr>
                  <w:rPr>
                    <w:rFonts w:ascii="Cambria Math" w:hAnsi="Cambria Math" w:cs="Times New Roman"/>
                    <w:i/>
                    <w:iCs/>
                  </w:rPr>
                </m:ctrlPr>
              </m:sSubPr>
              <m:e>
                <m:r>
                  <m:rPr/>
                  <w:rPr>
                    <w:rFonts w:ascii="Cambria Math" w:hAnsi="Cambria Math" w:cs="Times New Roman"/>
                  </w:rPr>
                  <m:t>η</m:t>
                </m:r>
                <m:ctrlPr>
                  <w:rPr>
                    <w:rFonts w:ascii="Cambria Math" w:hAnsi="Cambria Math" w:cs="Times New Roman"/>
                    <w:i/>
                    <w:iCs/>
                  </w:rPr>
                </m:ctrlPr>
              </m:e>
              <m:sub>
                <m:r>
                  <m:rPr/>
                  <w:rPr>
                    <w:rFonts w:hint="eastAsia" w:ascii="Cambria Math" w:hAnsi="Cambria Math" w:cs="Times New Roman"/>
                  </w:rPr>
                  <m:t>i</m:t>
                </m:r>
                <m:ctrlPr>
                  <w:rPr>
                    <w:rFonts w:ascii="Cambria Math" w:hAnsi="Cambria Math" w:cs="Times New Roman"/>
                    <w:i/>
                    <w:iCs/>
                  </w:rPr>
                </m:ctrlPr>
              </m:sub>
            </m:sSub>
            <m:ctrlPr>
              <w:rPr>
                <w:rFonts w:ascii="Cambria Math" w:hAnsi="Cambria Math" w:cs="Times New Roman"/>
                <w:i/>
                <w:iCs/>
              </w:rPr>
            </m:ctrlPr>
          </m:num>
          <m:den>
            <m:sSub>
              <m:sSubPr>
                <m:ctrlPr>
                  <w:rPr>
                    <w:rFonts w:ascii="Cambria Math" w:hAnsi="Cambria Math" w:cs="Times New Roman"/>
                    <w:i/>
                    <w:iCs/>
                  </w:rPr>
                </m:ctrlPr>
              </m:sSubPr>
              <m:e>
                <m:r>
                  <m:rPr/>
                  <w:rPr>
                    <w:rFonts w:ascii="Cambria Math" w:hAnsi="Cambria Math" w:cs="Times New Roman"/>
                  </w:rPr>
                  <m:t>η</m:t>
                </m:r>
                <m:ctrlPr>
                  <w:rPr>
                    <w:rFonts w:ascii="Cambria Math" w:hAnsi="Cambria Math" w:cs="Times New Roman"/>
                    <w:i/>
                    <w:iCs/>
                  </w:rPr>
                </m:ctrlPr>
              </m:e>
              <m:sub>
                <m:r>
                  <m:rPr/>
                  <w:rPr>
                    <w:rFonts w:hint="eastAsia" w:ascii="Cambria Math" w:hAnsi="Cambria Math" w:cs="Times New Roman"/>
                  </w:rPr>
                  <m:t>max</m:t>
                </m:r>
                <m:ctrlPr>
                  <w:rPr>
                    <w:rFonts w:ascii="Cambria Math" w:hAnsi="Cambria Math" w:cs="Times New Roman"/>
                    <w:i/>
                    <w:iCs/>
                  </w:rPr>
                </m:ctrlPr>
              </m:sub>
            </m:sSub>
            <m:ctrlPr>
              <w:rPr>
                <w:rFonts w:ascii="Cambria Math" w:hAnsi="Cambria Math" w:cs="Times New Roman"/>
                <w:i/>
                <w:iCs/>
              </w:rPr>
            </m:ctrlPr>
          </m:den>
        </m:f>
      </m:oMath>
    </w:p>
    <w:p>
      <w:pPr>
        <w:spacing w:line="360" w:lineRule="auto"/>
        <w:ind w:firstLineChars="0"/>
        <w:jc w:val="both"/>
        <w:rPr>
          <w:rFonts w:ascii="Cambria Math" w:hAnsi="Cambria Math" w:cs="Times New Roman"/>
          <w:iCs/>
        </w:rPr>
      </w:pPr>
      <w:r>
        <w:rPr>
          <w:rFonts w:hint="eastAsia" w:ascii="Cambria Math" w:hAnsi="Cambria Math" w:cs="Times New Roman"/>
          <w:iCs/>
        </w:rPr>
        <w:t>二级加载中挠度分（4分）</w:t>
      </w:r>
    </w:p>
    <w:p>
      <w:pPr>
        <w:spacing w:line="360" w:lineRule="auto"/>
        <w:ind w:firstLine="490" w:firstLineChars="0"/>
        <w:jc w:val="both"/>
        <w:rPr>
          <w:rFonts w:hint="eastAsia" w:ascii="楷体" w:hAnsi="楷体" w:cs="Times New Roman"/>
          <w:iCs/>
        </w:rPr>
      </w:pPr>
      <w:r>
        <w:rPr>
          <w:rFonts w:hint="eastAsia" w:ascii="楷体" w:hAnsi="楷体" w:cs="Times New Roman"/>
          <w:iCs/>
        </w:rPr>
        <w:t xml:space="preserve">  计算刚度</w:t>
      </w:r>
      <m:oMath>
        <m:sSub>
          <m:sSubPr>
            <m:ctrlPr>
              <w:rPr>
                <w:rFonts w:ascii="Cambria Math" w:hAnsi="Cambria Math" w:cs="Times New Roman"/>
                <w:i/>
                <w:iCs/>
              </w:rPr>
            </m:ctrlPr>
          </m:sSubPr>
          <m:e>
            <m:r>
              <m:rPr/>
              <w:rPr>
                <w:rFonts w:ascii="Cambria Math" w:hAnsi="Cambria Math" w:cs="Times New Roman"/>
              </w:rPr>
              <m:t>η</m:t>
            </m:r>
            <m:ctrlPr>
              <w:rPr>
                <w:rFonts w:ascii="Cambria Math" w:hAnsi="Cambria Math" w:cs="Times New Roman"/>
                <w:i/>
                <w:iCs/>
              </w:rPr>
            </m:ctrlPr>
          </m:e>
          <m:sub>
            <m:r>
              <m:rPr/>
              <w:rPr>
                <w:rFonts w:hint="eastAsia" w:ascii="Cambria Math" w:hAnsi="Cambria Math" w:cs="Times New Roman"/>
              </w:rPr>
              <m:t>i</m:t>
            </m:r>
            <m:ctrlPr>
              <w:rPr>
                <w:rFonts w:ascii="Cambria Math" w:hAnsi="Cambria Math" w:cs="Times New Roman"/>
                <w:i/>
                <w:iCs/>
              </w:rPr>
            </m:ctrlPr>
          </m:sub>
        </m:sSub>
        <m:r>
          <m:rP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m:rPr/>
                  <w:rPr>
                    <w:rFonts w:hint="eastAsia" w:ascii="Cambria Math" w:hAnsi="Cambria Math" w:cs="Times New Roman"/>
                  </w:rPr>
                  <m:t>w</m:t>
                </m:r>
                <m:ctrlPr>
                  <w:rPr>
                    <w:rFonts w:ascii="Cambria Math" w:hAnsi="Cambria Math" w:cs="Times New Roman"/>
                    <w:i/>
                    <w:iCs/>
                  </w:rPr>
                </m:ctrlPr>
              </m:e>
              <m:sub>
                <m:r>
                  <m:rPr/>
                  <w:rPr>
                    <w:rFonts w:ascii="Cambria Math" w:hAnsi="Cambria Math" w:cs="Times New Roman"/>
                  </w:rPr>
                  <m:t>2</m:t>
                </m:r>
                <m:ctrlPr>
                  <w:rPr>
                    <w:rFonts w:ascii="Cambria Math" w:hAnsi="Cambria Math" w:cs="Times New Roman"/>
                    <w:i/>
                    <w:iCs/>
                  </w:rPr>
                </m:ctrlPr>
              </m:sub>
            </m:sSub>
            <m:ctrlPr>
              <w:rPr>
                <w:rFonts w:ascii="Cambria Math" w:hAnsi="Cambria Math" w:cs="Times New Roman"/>
                <w:i/>
                <w:iCs/>
              </w:rPr>
            </m:ctrlPr>
          </m:num>
          <m:den>
            <m:sSub>
              <m:sSubPr>
                <m:ctrlPr>
                  <w:rPr>
                    <w:rFonts w:ascii="Cambria Math" w:hAnsi="Cambria Math" w:cs="Times New Roman"/>
                    <w:i/>
                    <w:iCs/>
                  </w:rPr>
                </m:ctrlPr>
              </m:sSubPr>
              <m:e>
                <m:r>
                  <m:rPr/>
                  <w:rPr>
                    <w:rFonts w:ascii="Cambria Math" w:hAnsi="Cambria Math" w:cs="Times New Roman"/>
                  </w:rPr>
                  <m:t>δ</m:t>
                </m:r>
                <m:ctrlPr>
                  <w:rPr>
                    <w:rFonts w:ascii="Cambria Math" w:hAnsi="Cambria Math" w:cs="Times New Roman"/>
                    <w:i/>
                    <w:iCs/>
                  </w:rPr>
                </m:ctrlPr>
              </m:e>
              <m:sub>
                <m:r>
                  <m:rPr/>
                  <w:rPr>
                    <w:rFonts w:ascii="Cambria Math" w:hAnsi="Cambria Math" w:cs="Times New Roman"/>
                  </w:rPr>
                  <m:t>1</m:t>
                </m:r>
                <m:ctrlPr>
                  <w:rPr>
                    <w:rFonts w:ascii="Cambria Math" w:hAnsi="Cambria Math" w:cs="Times New Roman"/>
                    <w:i/>
                    <w:iCs/>
                  </w:rPr>
                </m:ctrlPr>
              </m:sub>
            </m:sSub>
            <m:ctrlPr>
              <w:rPr>
                <w:rFonts w:ascii="Cambria Math" w:hAnsi="Cambria Math" w:cs="Times New Roman"/>
                <w:i/>
                <w:iCs/>
              </w:rPr>
            </m:ctrlPr>
          </m:den>
        </m:f>
      </m:oMath>
      <w:r>
        <w:rPr>
          <w:rFonts w:hint="eastAsia" w:ascii="楷体" w:hAnsi="楷体" w:cs="Times New Roman"/>
          <w:iCs/>
        </w:rPr>
        <w:t>，记所有通过队伍中最大的刚度为</w:t>
      </w:r>
      <m:oMath>
        <m:sSub>
          <m:sSubPr>
            <m:ctrlPr>
              <w:rPr>
                <w:rFonts w:ascii="Cambria Math" w:hAnsi="Cambria Math" w:cs="Times New Roman"/>
                <w:i/>
                <w:iCs/>
              </w:rPr>
            </m:ctrlPr>
          </m:sSubPr>
          <m:e>
            <m:r>
              <m:rPr/>
              <w:rPr>
                <w:rFonts w:ascii="Cambria Math" w:hAnsi="Cambria Math" w:cs="Times New Roman"/>
              </w:rPr>
              <m:t>η</m:t>
            </m:r>
            <m:ctrlPr>
              <w:rPr>
                <w:rFonts w:ascii="Cambria Math" w:hAnsi="Cambria Math" w:cs="Times New Roman"/>
                <w:i/>
                <w:iCs/>
              </w:rPr>
            </m:ctrlPr>
          </m:e>
          <m:sub>
            <m:r>
              <m:rPr/>
              <w:rPr>
                <w:rFonts w:hint="eastAsia" w:ascii="Cambria Math" w:hAnsi="Cambria Math" w:cs="Times New Roman"/>
              </w:rPr>
              <m:t>max</m:t>
            </m:r>
            <m:ctrlPr>
              <w:rPr>
                <w:rFonts w:ascii="Cambria Math" w:hAnsi="Cambria Math" w:cs="Times New Roman"/>
                <w:i/>
                <w:iCs/>
              </w:rPr>
            </m:ctrlPr>
          </m:sub>
        </m:sSub>
      </m:oMath>
    </w:p>
    <w:p>
      <w:pPr>
        <w:spacing w:line="360" w:lineRule="auto"/>
        <w:ind w:firstLine="490" w:firstLineChars="0"/>
        <w:jc w:val="both"/>
        <w:rPr>
          <w:rFonts w:hint="eastAsia" w:ascii="楷体" w:hAnsi="楷体" w:cs="Times New Roman"/>
          <w:iCs/>
        </w:rPr>
      </w:pPr>
      <w:r>
        <w:rPr>
          <w:rFonts w:hint="eastAsia" w:ascii="楷体" w:hAnsi="楷体" w:cs="Times New Roman"/>
          <w:iCs/>
        </w:rPr>
        <w:t xml:space="preserve">  得分</w:t>
      </w:r>
      <m:oMath>
        <m:sSub>
          <m:sSubPr>
            <m:ctrlPr>
              <w:rPr>
                <w:rFonts w:ascii="Cambria Math" w:hAnsi="Cambria Math" w:cs="Times New Roman"/>
                <w:i/>
                <w:iCs/>
              </w:rPr>
            </m:ctrlPr>
          </m:sSubPr>
          <m:e>
            <m:r>
              <m:rPr/>
              <w:rPr>
                <w:rFonts w:ascii="Cambria Math" w:hAnsi="Cambria Math" w:cs="Times New Roman"/>
              </w:rPr>
              <m:t>S</m:t>
            </m:r>
            <m:ctrlPr>
              <w:rPr>
                <w:rFonts w:ascii="Cambria Math" w:hAnsi="Cambria Math" w:cs="Times New Roman"/>
                <w:i/>
                <w:iCs/>
              </w:rPr>
            </m:ctrlPr>
          </m:e>
          <m:sub>
            <m:r>
              <m:rPr/>
              <w:rPr>
                <w:rFonts w:hint="eastAsia" w:ascii="Cambria Math" w:hAnsi="Cambria Math" w:cs="Times New Roman"/>
              </w:rPr>
              <m:t>i</m:t>
            </m:r>
            <m:ctrlPr>
              <w:rPr>
                <w:rFonts w:ascii="Cambria Math" w:hAnsi="Cambria Math" w:cs="Times New Roman"/>
                <w:i/>
                <w:iCs/>
              </w:rPr>
            </m:ctrlPr>
          </m:sub>
        </m:sSub>
        <m:r>
          <m:rPr/>
          <w:rPr>
            <w:rFonts w:ascii="Cambria Math" w:hAnsi="Cambria Math" w:cs="Times New Roman"/>
          </w:rPr>
          <m:t>=</m:t>
        </m:r>
        <m:f>
          <m:fPr>
            <m:ctrlPr>
              <w:rPr>
                <w:rFonts w:ascii="Cambria Math" w:hAnsi="Cambria Math" w:cs="Times New Roman"/>
                <w:i/>
                <w:iCs/>
              </w:rPr>
            </m:ctrlPr>
          </m:fPr>
          <m:num>
            <m:r>
              <m:rPr/>
              <w:rPr>
                <w:rFonts w:ascii="Cambria Math" w:hAnsi="Cambria Math" w:cs="Times New Roman"/>
              </w:rPr>
              <m:t>4</m:t>
            </m:r>
            <m:sSub>
              <m:sSubPr>
                <m:ctrlPr>
                  <w:rPr>
                    <w:rFonts w:ascii="Cambria Math" w:hAnsi="Cambria Math" w:cs="Times New Roman"/>
                    <w:i/>
                    <w:iCs/>
                  </w:rPr>
                </m:ctrlPr>
              </m:sSubPr>
              <m:e>
                <m:r>
                  <m:rPr/>
                  <w:rPr>
                    <w:rFonts w:ascii="Cambria Math" w:hAnsi="Cambria Math" w:cs="Times New Roman"/>
                  </w:rPr>
                  <m:t>η</m:t>
                </m:r>
                <m:ctrlPr>
                  <w:rPr>
                    <w:rFonts w:ascii="Cambria Math" w:hAnsi="Cambria Math" w:cs="Times New Roman"/>
                    <w:i/>
                    <w:iCs/>
                  </w:rPr>
                </m:ctrlPr>
              </m:e>
              <m:sub>
                <m:r>
                  <m:rPr/>
                  <w:rPr>
                    <w:rFonts w:hint="eastAsia" w:ascii="Cambria Math" w:hAnsi="Cambria Math" w:cs="Times New Roman"/>
                  </w:rPr>
                  <m:t>i</m:t>
                </m:r>
                <m:ctrlPr>
                  <w:rPr>
                    <w:rFonts w:ascii="Cambria Math" w:hAnsi="Cambria Math" w:cs="Times New Roman"/>
                    <w:i/>
                    <w:iCs/>
                  </w:rPr>
                </m:ctrlPr>
              </m:sub>
            </m:sSub>
            <m:ctrlPr>
              <w:rPr>
                <w:rFonts w:ascii="Cambria Math" w:hAnsi="Cambria Math" w:cs="Times New Roman"/>
                <w:i/>
                <w:iCs/>
              </w:rPr>
            </m:ctrlPr>
          </m:num>
          <m:den>
            <m:sSub>
              <m:sSubPr>
                <m:ctrlPr>
                  <w:rPr>
                    <w:rFonts w:ascii="Cambria Math" w:hAnsi="Cambria Math" w:cs="Times New Roman"/>
                    <w:i/>
                    <w:iCs/>
                  </w:rPr>
                </m:ctrlPr>
              </m:sSubPr>
              <m:e>
                <m:r>
                  <m:rPr/>
                  <w:rPr>
                    <w:rFonts w:ascii="Cambria Math" w:hAnsi="Cambria Math" w:cs="Times New Roman"/>
                  </w:rPr>
                  <m:t>η</m:t>
                </m:r>
                <m:ctrlPr>
                  <w:rPr>
                    <w:rFonts w:ascii="Cambria Math" w:hAnsi="Cambria Math" w:cs="Times New Roman"/>
                    <w:i/>
                    <w:iCs/>
                  </w:rPr>
                </m:ctrlPr>
              </m:e>
              <m:sub>
                <m:r>
                  <m:rPr/>
                  <w:rPr>
                    <w:rFonts w:hint="eastAsia" w:ascii="Cambria Math" w:hAnsi="Cambria Math" w:cs="Times New Roman"/>
                  </w:rPr>
                  <m:t>max</m:t>
                </m:r>
                <m:ctrlPr>
                  <w:rPr>
                    <w:rFonts w:ascii="Cambria Math" w:hAnsi="Cambria Math" w:cs="Times New Roman"/>
                    <w:i/>
                    <w:iCs/>
                  </w:rPr>
                </m:ctrlPr>
              </m:sub>
            </m:sSub>
            <m:ctrlPr>
              <w:rPr>
                <w:rFonts w:ascii="Cambria Math" w:hAnsi="Cambria Math" w:cs="Times New Roman"/>
                <w:i/>
                <w:iCs/>
              </w:rPr>
            </m:ctrlPr>
          </m:den>
        </m:f>
      </m:oMath>
    </w:p>
    <w:p>
      <w:pPr>
        <w:spacing w:line="360" w:lineRule="auto"/>
        <w:ind w:firstLine="0" w:firstLineChars="0"/>
        <w:rPr>
          <w:rFonts w:hint="eastAsia" w:ascii="楷体" w:hAnsi="楷体" w:cs="Times New Roman"/>
          <w:b/>
          <w:bCs/>
        </w:rPr>
      </w:pPr>
      <w:r>
        <w:rPr>
          <w:rFonts w:hint="eastAsia" w:ascii="楷体" w:hAnsi="楷体" w:cs="Times New Roman"/>
          <w:b/>
          <w:bCs/>
        </w:rPr>
        <w:t xml:space="preserve"> </w:t>
      </w:r>
    </w:p>
    <w:p>
      <w:pPr>
        <w:spacing w:line="360" w:lineRule="auto"/>
        <w:ind w:firstLine="0" w:firstLineChars="0"/>
        <w:rPr>
          <w:rFonts w:hint="eastAsia" w:ascii="楷体" w:hAnsi="楷体" w:cs="Times New Roman"/>
        </w:rPr>
      </w:pPr>
      <w:r>
        <w:rPr>
          <w:rFonts w:hint="eastAsia" w:ascii="楷体" w:hAnsi="楷体" w:cs="Times New Roman"/>
        </w:rPr>
        <w:t xml:space="preserve"> </w:t>
      </w:r>
      <w:r>
        <w:rPr>
          <w:rFonts w:cs="Times New Roman"/>
          <w:b/>
          <w:bCs/>
        </w:rPr>
        <w:t xml:space="preserve">9奖项设置 </w:t>
      </w:r>
    </w:p>
    <w:p>
      <w:pPr>
        <w:spacing w:line="360" w:lineRule="auto"/>
        <w:ind w:firstLine="480"/>
        <w:rPr>
          <w:rFonts w:ascii="Cambria Math" w:hAnsi="Cambria Math" w:cs="Times New Roman"/>
        </w:rPr>
      </w:pPr>
      <w:r>
        <w:rPr>
          <w:rFonts w:ascii="Cambria Math" w:hAnsi="Cambria Math" w:cs="Times New Roman"/>
        </w:rPr>
        <w:t>校级：一等奖</w:t>
      </w:r>
      <w:r>
        <w:rPr>
          <w:rFonts w:hint="eastAsia" w:ascii="Cambria Math" w:hAnsi="Cambria Math" w:cs="Times New Roman"/>
        </w:rPr>
        <w:t>一组，</w:t>
      </w:r>
      <w:r>
        <w:rPr>
          <w:rFonts w:ascii="Cambria Math" w:hAnsi="Cambria Math" w:cs="Times New Roman"/>
        </w:rPr>
        <w:t>二等奖</w:t>
      </w:r>
      <w:r>
        <w:rPr>
          <w:rFonts w:hint="eastAsia" w:ascii="Cambria Math" w:hAnsi="Cambria Math" w:cs="Times New Roman"/>
        </w:rPr>
        <w:t>两组，</w:t>
      </w:r>
      <w:r>
        <w:rPr>
          <w:rFonts w:ascii="Cambria Math" w:hAnsi="Cambria Math" w:cs="Times New Roman"/>
        </w:rPr>
        <w:t>三等奖</w:t>
      </w:r>
      <w:r>
        <w:rPr>
          <w:rFonts w:hint="eastAsia" w:ascii="Cambria Math" w:hAnsi="Cambria Math" w:cs="Times New Roman"/>
        </w:rPr>
        <w:t>三组，优秀奖若干</w:t>
      </w:r>
      <w:r>
        <w:rPr>
          <w:rFonts w:ascii="Cambria Math" w:hAnsi="Cambria Math" w:cs="Times New Roman"/>
        </w:rPr>
        <w:t>。</w:t>
      </w:r>
    </w:p>
    <w:p>
      <w:pPr>
        <w:ind w:firstLine="0" w:firstLineChars="0"/>
        <w:rPr>
          <w:rFonts w:cs="Times New Roman"/>
          <w:b/>
          <w:bCs/>
        </w:rPr>
      </w:pPr>
      <w:r>
        <w:rPr>
          <w:rFonts w:cs="Times New Roman"/>
          <w:b/>
          <w:bCs/>
        </w:rPr>
        <w:t xml:space="preserve">10失效判定 </w:t>
      </w:r>
    </w:p>
    <w:p>
      <w:pPr>
        <w:spacing w:line="360" w:lineRule="auto"/>
        <w:ind w:firstLine="480"/>
        <w:rPr>
          <w:rFonts w:ascii="Cambria Math" w:hAnsi="Cambria Math" w:cs="Times New Roman"/>
        </w:rPr>
      </w:pPr>
      <w:r>
        <w:rPr>
          <w:rFonts w:ascii="Cambria Math" w:hAnsi="Cambria Math" w:cs="Times New Roman"/>
        </w:rPr>
        <w:t>出现以下任一情况，判定为模型失效，终止加载或直接淘汰：</w:t>
      </w:r>
    </w:p>
    <w:p>
      <w:pPr>
        <w:spacing w:line="360" w:lineRule="auto"/>
        <w:ind w:firstLine="480"/>
        <w:rPr>
          <w:rFonts w:ascii="Cambria Math" w:hAnsi="Cambria Math" w:cs="Times New Roman"/>
        </w:rPr>
      </w:pPr>
      <w:r>
        <w:rPr>
          <w:rFonts w:hint="eastAsia" w:ascii="Cambria Math" w:hAnsi="Cambria Math" w:cs="Times New Roman"/>
        </w:rPr>
        <w:t>（1）</w:t>
      </w:r>
      <w:r>
        <w:rPr>
          <w:rFonts w:ascii="Cambria Math" w:hAnsi="Cambria Math" w:cs="Times New Roman"/>
        </w:rPr>
        <w:t>尺寸、材料不符合赛题规定。</w:t>
      </w:r>
    </w:p>
    <w:p>
      <w:pPr>
        <w:spacing w:line="360" w:lineRule="auto"/>
        <w:ind w:firstLine="480"/>
        <w:rPr>
          <w:rFonts w:ascii="Cambria Math" w:hAnsi="Cambria Math" w:cs="Times New Roman"/>
        </w:rPr>
      </w:pPr>
      <w:r>
        <w:rPr>
          <w:rFonts w:hint="eastAsia" w:ascii="Cambria Math" w:hAnsi="Cambria Math" w:cs="Times New Roman"/>
        </w:rPr>
        <w:t>（2）</w:t>
      </w:r>
      <w:r>
        <w:rPr>
          <w:rFonts w:ascii="Cambria Math" w:hAnsi="Cambria Math" w:cs="Times New Roman"/>
        </w:rPr>
        <w:t>预加载失败。</w:t>
      </w:r>
    </w:p>
    <w:p>
      <w:pPr>
        <w:spacing w:line="360" w:lineRule="auto"/>
        <w:ind w:firstLine="480"/>
        <w:rPr>
          <w:rFonts w:ascii="Cambria Math" w:hAnsi="Cambria Math" w:cs="Times New Roman"/>
        </w:rPr>
      </w:pPr>
      <w:r>
        <w:rPr>
          <w:rFonts w:hint="eastAsia" w:ascii="Cambria Math" w:hAnsi="Cambria Math" w:cs="Times New Roman"/>
        </w:rPr>
        <w:t>（3）</w:t>
      </w:r>
      <w:r>
        <w:rPr>
          <w:rFonts w:ascii="Cambria Math" w:hAnsi="Cambria Math" w:cs="Times New Roman"/>
        </w:rPr>
        <w:t>加载过程中主要构件（如梁肋、腹板）失稳屈曲、撕裂或节点脱开。</w:t>
      </w:r>
    </w:p>
    <w:p>
      <w:pPr>
        <w:spacing w:line="360" w:lineRule="auto"/>
        <w:ind w:firstLine="480"/>
        <w:rPr>
          <w:rFonts w:ascii="Cambria Math" w:hAnsi="Cambria Math" w:cs="Times New Roman"/>
        </w:rPr>
      </w:pPr>
      <w:r>
        <w:rPr>
          <w:rFonts w:hint="eastAsia" w:ascii="Cambria Math" w:hAnsi="Cambria Math" w:cs="Times New Roman"/>
        </w:rPr>
        <w:t>（4）</w:t>
      </w:r>
      <w:r>
        <w:rPr>
          <w:rFonts w:ascii="Cambria Math" w:hAnsi="Cambria Math" w:cs="Times New Roman"/>
        </w:rPr>
        <w:t>吊点撕裂导致砝码跌落。</w:t>
      </w:r>
    </w:p>
    <w:p>
      <w:pPr>
        <w:spacing w:line="360" w:lineRule="auto"/>
        <w:ind w:firstLine="480"/>
        <w:rPr>
          <w:rFonts w:ascii="Cambria Math" w:hAnsi="Cambria Math" w:cs="Times New Roman"/>
        </w:rPr>
      </w:pPr>
      <w:r>
        <w:rPr>
          <w:rFonts w:hint="eastAsia" w:ascii="Cambria Math" w:hAnsi="Cambria Math" w:cs="Times New Roman"/>
        </w:rPr>
        <w:t>（5）</w:t>
      </w:r>
      <w:r>
        <w:rPr>
          <w:rFonts w:ascii="Cambria Math" w:hAnsi="Cambria Math" w:cs="Times New Roman"/>
        </w:rPr>
        <w:t>桥面变形过大导致小车无法通行。</w:t>
      </w:r>
    </w:p>
    <w:p>
      <w:pPr>
        <w:spacing w:line="360" w:lineRule="auto"/>
        <w:ind w:firstLine="480"/>
        <w:rPr>
          <w:rFonts w:ascii="Cambria Math" w:hAnsi="Cambria Math" w:cs="Times New Roman"/>
        </w:rPr>
      </w:pPr>
      <w:r>
        <w:rPr>
          <w:rFonts w:hint="eastAsia" w:ascii="Cambria Math" w:hAnsi="Cambria Math" w:cs="Times New Roman"/>
        </w:rPr>
        <w:t>（6）</w:t>
      </w:r>
      <w:r>
        <w:rPr>
          <w:rFonts w:ascii="Cambria Math" w:hAnsi="Cambria Math" w:cs="Times New Roman"/>
        </w:rPr>
        <w:t>评委认定的其他严重影响加载的情况。</w:t>
      </w:r>
    </w:p>
    <w:p>
      <w:pPr>
        <w:ind w:firstLine="0" w:firstLineChars="0"/>
        <w:rPr>
          <w:rFonts w:cs="Times New Roman"/>
          <w:b/>
          <w:bCs/>
        </w:rPr>
      </w:pPr>
      <w:r>
        <w:rPr>
          <w:rFonts w:cs="Times New Roman"/>
          <w:b/>
          <w:bCs/>
        </w:rPr>
        <w:t>11</w:t>
      </w:r>
      <w:r>
        <w:rPr>
          <w:rFonts w:hint="eastAsia" w:cs="Times New Roman"/>
          <w:b/>
          <w:bCs/>
        </w:rPr>
        <w:t>答疑会</w:t>
      </w:r>
    </w:p>
    <w:p>
      <w:pPr>
        <w:spacing w:line="360" w:lineRule="auto"/>
        <w:ind w:firstLine="480"/>
        <w:rPr>
          <w:rFonts w:ascii="Cambria Math" w:hAnsi="Cambria Math" w:cs="Times New Roman"/>
        </w:rPr>
      </w:pPr>
      <w:r>
        <w:rPr>
          <w:rFonts w:ascii="Cambria Math" w:hAnsi="Cambria Math" w:cs="Times New Roman"/>
        </w:rPr>
        <w:t>考虑到参赛选手皆为大一新生缺乏参赛经验，组委会将</w:t>
      </w:r>
      <w:r>
        <w:rPr>
          <w:rFonts w:hint="eastAsia" w:ascii="Cambria Math" w:hAnsi="Cambria Math" w:cs="Times New Roman"/>
        </w:rPr>
        <w:t>开展答疑会</w:t>
      </w:r>
      <w:r>
        <w:rPr>
          <w:rFonts w:ascii="Cambria Math" w:hAnsi="Cambria Math" w:cs="Times New Roman"/>
        </w:rPr>
        <w:t>，</w:t>
      </w:r>
      <w:r>
        <w:rPr>
          <w:rFonts w:hint="eastAsia" w:ascii="Cambria Math" w:hAnsi="Cambria Math" w:cs="Times New Roman"/>
        </w:rPr>
        <w:t>展示</w:t>
      </w:r>
      <w:r>
        <w:rPr>
          <w:rFonts w:ascii="Cambria Math" w:hAnsi="Cambria Math" w:cs="Times New Roman"/>
        </w:rPr>
        <w:t>比赛加载过程，方便新生适应比赛流程，制定比赛策略，检验自身模型。</w:t>
      </w:r>
    </w:p>
    <w:p>
      <w:pPr>
        <w:spacing w:line="360" w:lineRule="auto"/>
        <w:ind w:firstLine="480"/>
        <w:rPr>
          <w:rFonts w:ascii="Cambria Math" w:hAnsi="Cambria Math" w:cs="Times New Roman"/>
        </w:rPr>
      </w:pPr>
      <w:r>
        <w:rPr>
          <w:rFonts w:hint="eastAsia" w:ascii="Cambria Math" w:hAnsi="Cambria Math" w:cs="Times New Roman"/>
        </w:rPr>
        <w:t>答疑会</w:t>
      </w:r>
      <w:r>
        <w:rPr>
          <w:rFonts w:ascii="Cambria Math" w:hAnsi="Cambria Math" w:cs="Times New Roman"/>
        </w:rPr>
        <w:t>时间由组委会确定并在QQ群内通知，各组选手自行报名。</w:t>
      </w:r>
    </w:p>
    <w:p>
      <w:pPr>
        <w:ind w:firstLine="0" w:firstLineChars="0"/>
        <w:rPr>
          <w:rFonts w:cs="Times New Roman"/>
          <w:b/>
          <w:bCs/>
        </w:rPr>
      </w:pPr>
      <w:r>
        <w:rPr>
          <w:rFonts w:hint="eastAsia" w:cs="Times New Roman"/>
          <w:b/>
          <w:bCs/>
        </w:rPr>
        <w:t>12押金退回</w:t>
      </w:r>
    </w:p>
    <w:p>
      <w:pPr>
        <w:spacing w:line="360" w:lineRule="auto"/>
        <w:ind w:firstLine="480"/>
        <w:rPr>
          <w:rFonts w:ascii="Cambria Math" w:hAnsi="Cambria Math" w:cs="Times New Roman"/>
        </w:rPr>
      </w:pPr>
      <w:r>
        <w:rPr>
          <w:rFonts w:hint="eastAsia" w:ascii="Cambria Math" w:hAnsi="Cambria Math" w:cs="Times New Roman"/>
        </w:rPr>
        <w:t>模型验收成功并通过预加载I者，可退回押金。押金退回工作将在决赛结束后10个工作日内开展。</w:t>
      </w:r>
    </w:p>
    <w:p>
      <w:pPr>
        <w:ind w:firstLine="0" w:firstLineChars="0"/>
        <w:rPr>
          <w:rFonts w:cs="Times New Roman"/>
          <w:b/>
          <w:bCs/>
        </w:rPr>
      </w:pPr>
      <w:r>
        <w:rPr>
          <w:rFonts w:hint="eastAsia" w:cs="Times New Roman"/>
          <w:b/>
          <w:bCs/>
        </w:rPr>
        <w:t>13</w:t>
      </w:r>
      <w:r>
        <w:rPr>
          <w:rFonts w:cs="Times New Roman"/>
          <w:b/>
          <w:bCs/>
        </w:rPr>
        <w:t xml:space="preserve">附则 </w:t>
      </w:r>
    </w:p>
    <w:p>
      <w:pPr>
        <w:spacing w:line="360" w:lineRule="auto"/>
        <w:ind w:firstLine="480"/>
        <w:rPr>
          <w:rFonts w:ascii="Cambria Math" w:hAnsi="Cambria Math" w:cs="Times New Roman"/>
        </w:rPr>
      </w:pPr>
      <w:r>
        <w:rPr>
          <w:rFonts w:ascii="Cambria Math" w:hAnsi="Cambria Math" w:cs="Times New Roman"/>
        </w:rPr>
        <w:t>本赛题解释权归新生设想家竞赛组委会。</w:t>
      </w:r>
    </w:p>
    <w:p>
      <w:pPr>
        <w:spacing w:line="360" w:lineRule="auto"/>
        <w:ind w:firstLine="480"/>
        <w:rPr>
          <w:rFonts w:ascii="Cambria Math" w:hAnsi="Cambria Math" w:cs="Times New Roman"/>
        </w:rPr>
      </w:pPr>
      <w:r>
        <w:rPr>
          <w:rFonts w:ascii="Cambria Math" w:hAnsi="Cambria Math" w:cs="Times New Roman"/>
        </w:rPr>
        <w:t>官方</w:t>
      </w:r>
      <w:r>
        <w:rPr>
          <w:rFonts w:hint="eastAsia" w:ascii="Cambria Math" w:hAnsi="Cambria Math" w:cs="Times New Roman"/>
        </w:rPr>
        <w:t>赛事</w:t>
      </w:r>
      <w:r>
        <w:rPr>
          <w:rFonts w:ascii="Cambria Math" w:hAnsi="Cambria Math" w:cs="Times New Roman"/>
        </w:rPr>
        <w:t>QQ群</w:t>
      </w:r>
      <w:r>
        <w:rPr>
          <w:rFonts w:hint="eastAsia" w:ascii="Cambria Math" w:hAnsi="Cambria Math" w:cs="Times New Roman"/>
        </w:rPr>
        <w:t>群号</w:t>
      </w:r>
      <w:r>
        <w:rPr>
          <w:rFonts w:ascii="Cambria Math" w:hAnsi="Cambria Math" w:cs="Times New Roman"/>
        </w:rPr>
        <w:t>：[368649232]。</w:t>
      </w:r>
    </w:p>
    <w:p>
      <w:pPr>
        <w:spacing w:line="360" w:lineRule="auto"/>
        <w:ind w:firstLine="480"/>
        <w:rPr>
          <w:rFonts w:ascii="Cambria Math" w:hAnsi="Cambria Math" w:cs="Times New Roman"/>
        </w:rPr>
      </w:pPr>
      <w:r>
        <w:rPr>
          <w:rFonts w:ascii="Cambria Math" w:hAnsi="Cambria Math" w:cs="Times New Roman"/>
        </w:rPr>
        <w:t>赛题如有微调，以官方群内发布的补充通知为准。</w:t>
      </w:r>
    </w:p>
    <w:p>
      <w:pPr>
        <w:pStyle w:val="34"/>
        <w:spacing w:line="360" w:lineRule="auto"/>
        <w:ind w:firstLine="480"/>
        <w:rPr>
          <w:rFonts w:cs="Times New Roman"/>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ind w:firstLine="480"/>
      </w:pPr>
      <w:r>
        <w:separator/>
      </w:r>
    </w:p>
  </w:footnote>
  <w:footnote w:type="continuationSeparator" w:id="1">
    <w:p>
      <w:pPr>
        <w:spacing w:before="0" w:after="0" w:line="278"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2DA47"/>
    <w:multiLevelType w:val="singleLevel"/>
    <w:tmpl w:val="B0E2DA4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OTY3ZmFmMDZhOTkzZTNhMTI0MmJiZGEyOWQ1OTcifQ=="/>
  </w:docVars>
  <w:rsids>
    <w:rsidRoot w:val="00436458"/>
    <w:rsid w:val="000007CE"/>
    <w:rsid w:val="00040402"/>
    <w:rsid w:val="00072782"/>
    <w:rsid w:val="00104923"/>
    <w:rsid w:val="00105B21"/>
    <w:rsid w:val="001222B6"/>
    <w:rsid w:val="00150E5C"/>
    <w:rsid w:val="00163836"/>
    <w:rsid w:val="00177433"/>
    <w:rsid w:val="0019708D"/>
    <w:rsid w:val="002009FD"/>
    <w:rsid w:val="00225B37"/>
    <w:rsid w:val="00252F88"/>
    <w:rsid w:val="002679A8"/>
    <w:rsid w:val="002D036C"/>
    <w:rsid w:val="002D3514"/>
    <w:rsid w:val="002F24A5"/>
    <w:rsid w:val="00344D32"/>
    <w:rsid w:val="00360AB7"/>
    <w:rsid w:val="003678F6"/>
    <w:rsid w:val="00410B1C"/>
    <w:rsid w:val="00436458"/>
    <w:rsid w:val="00485C73"/>
    <w:rsid w:val="004C5D6B"/>
    <w:rsid w:val="00502541"/>
    <w:rsid w:val="005353D5"/>
    <w:rsid w:val="00541734"/>
    <w:rsid w:val="005576AC"/>
    <w:rsid w:val="00564E1C"/>
    <w:rsid w:val="005B0CBB"/>
    <w:rsid w:val="005D1CF0"/>
    <w:rsid w:val="005D4D70"/>
    <w:rsid w:val="0060357F"/>
    <w:rsid w:val="00644E2C"/>
    <w:rsid w:val="00653CA9"/>
    <w:rsid w:val="006768B0"/>
    <w:rsid w:val="006E2E1D"/>
    <w:rsid w:val="006F6E5C"/>
    <w:rsid w:val="00703449"/>
    <w:rsid w:val="007047E7"/>
    <w:rsid w:val="00727CD0"/>
    <w:rsid w:val="007A3AB8"/>
    <w:rsid w:val="007C6847"/>
    <w:rsid w:val="0087461B"/>
    <w:rsid w:val="00886111"/>
    <w:rsid w:val="008934D4"/>
    <w:rsid w:val="008B322B"/>
    <w:rsid w:val="008C3761"/>
    <w:rsid w:val="008D57CC"/>
    <w:rsid w:val="009272FF"/>
    <w:rsid w:val="00985CEA"/>
    <w:rsid w:val="009B1E17"/>
    <w:rsid w:val="009F7ADF"/>
    <w:rsid w:val="00A903E0"/>
    <w:rsid w:val="00AB1AAA"/>
    <w:rsid w:val="00AB26D0"/>
    <w:rsid w:val="00AB3BB0"/>
    <w:rsid w:val="00AB5367"/>
    <w:rsid w:val="00AB58C6"/>
    <w:rsid w:val="00AF6013"/>
    <w:rsid w:val="00B05B5C"/>
    <w:rsid w:val="00B21E1F"/>
    <w:rsid w:val="00B54799"/>
    <w:rsid w:val="00BB2F1D"/>
    <w:rsid w:val="00C24DC4"/>
    <w:rsid w:val="00C44DEF"/>
    <w:rsid w:val="00C73EE3"/>
    <w:rsid w:val="00C81F58"/>
    <w:rsid w:val="00CA6395"/>
    <w:rsid w:val="00CC2869"/>
    <w:rsid w:val="00D11907"/>
    <w:rsid w:val="00D1658D"/>
    <w:rsid w:val="00D32C3D"/>
    <w:rsid w:val="00D4665A"/>
    <w:rsid w:val="00D47C88"/>
    <w:rsid w:val="00E12540"/>
    <w:rsid w:val="00E12BED"/>
    <w:rsid w:val="00E12E34"/>
    <w:rsid w:val="00E2255D"/>
    <w:rsid w:val="00E34A22"/>
    <w:rsid w:val="00E57655"/>
    <w:rsid w:val="00E735F4"/>
    <w:rsid w:val="00E851F3"/>
    <w:rsid w:val="00EA559D"/>
    <w:rsid w:val="00EA7A0D"/>
    <w:rsid w:val="00EA7D00"/>
    <w:rsid w:val="00ED0549"/>
    <w:rsid w:val="00ED6A18"/>
    <w:rsid w:val="00F10AE5"/>
    <w:rsid w:val="00F63B3B"/>
    <w:rsid w:val="033C2BF5"/>
    <w:rsid w:val="03875E5D"/>
    <w:rsid w:val="03B409DD"/>
    <w:rsid w:val="07241C47"/>
    <w:rsid w:val="0C65102A"/>
    <w:rsid w:val="0DF447F8"/>
    <w:rsid w:val="117605DA"/>
    <w:rsid w:val="142676D5"/>
    <w:rsid w:val="18904AED"/>
    <w:rsid w:val="1B4B1512"/>
    <w:rsid w:val="1B862808"/>
    <w:rsid w:val="1CD95889"/>
    <w:rsid w:val="1EB8666C"/>
    <w:rsid w:val="1FB6163A"/>
    <w:rsid w:val="209E5732"/>
    <w:rsid w:val="231150AD"/>
    <w:rsid w:val="247B1377"/>
    <w:rsid w:val="25D05A1C"/>
    <w:rsid w:val="28094EEC"/>
    <w:rsid w:val="2AE17A5A"/>
    <w:rsid w:val="2B3B6215"/>
    <w:rsid w:val="2B593A95"/>
    <w:rsid w:val="2D32459D"/>
    <w:rsid w:val="2E736D6E"/>
    <w:rsid w:val="2EA414CB"/>
    <w:rsid w:val="2F225F17"/>
    <w:rsid w:val="33654279"/>
    <w:rsid w:val="355D23D3"/>
    <w:rsid w:val="36343134"/>
    <w:rsid w:val="37911CA5"/>
    <w:rsid w:val="3C2123AD"/>
    <w:rsid w:val="3D5F430F"/>
    <w:rsid w:val="3EAE3F20"/>
    <w:rsid w:val="3F8A2017"/>
    <w:rsid w:val="40300A76"/>
    <w:rsid w:val="433921CA"/>
    <w:rsid w:val="481C5B2A"/>
    <w:rsid w:val="4AB97F8F"/>
    <w:rsid w:val="4ADC0E2A"/>
    <w:rsid w:val="4AF35176"/>
    <w:rsid w:val="4C856040"/>
    <w:rsid w:val="4EAD187E"/>
    <w:rsid w:val="4F9A62A6"/>
    <w:rsid w:val="506863A4"/>
    <w:rsid w:val="50D419C7"/>
    <w:rsid w:val="51A60E0C"/>
    <w:rsid w:val="51BE6C7E"/>
    <w:rsid w:val="54DC516B"/>
    <w:rsid w:val="58D26BB9"/>
    <w:rsid w:val="590E6515"/>
    <w:rsid w:val="5C9A78E6"/>
    <w:rsid w:val="5DF419F2"/>
    <w:rsid w:val="5F592191"/>
    <w:rsid w:val="605D1356"/>
    <w:rsid w:val="62FB6C04"/>
    <w:rsid w:val="65F403C0"/>
    <w:rsid w:val="66470D43"/>
    <w:rsid w:val="66686C04"/>
    <w:rsid w:val="67EE31DB"/>
    <w:rsid w:val="6CA43E69"/>
    <w:rsid w:val="6D8A32E4"/>
    <w:rsid w:val="6DAC7479"/>
    <w:rsid w:val="6E421B8B"/>
    <w:rsid w:val="6EEC06B7"/>
    <w:rsid w:val="722021E3"/>
    <w:rsid w:val="75A849CA"/>
    <w:rsid w:val="770E2F52"/>
    <w:rsid w:val="779340E6"/>
    <w:rsid w:val="780A371A"/>
    <w:rsid w:val="793A1BF7"/>
    <w:rsid w:val="7A3D0116"/>
    <w:rsid w:val="7AA667F8"/>
    <w:rsid w:val="7D2A690E"/>
    <w:rsid w:val="7DB03A10"/>
    <w:rsid w:val="7DDD71DA"/>
    <w:rsid w:val="7ED52DAC"/>
    <w:rsid w:val="7FCE3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ind w:firstLine="200" w:firstLineChars="200"/>
    </w:pPr>
    <w:rPr>
      <w:rFonts w:ascii="Times New Roman" w:hAnsi="Times New Roman" w:eastAsia="楷体" w:cstheme="minorBidi"/>
      <w:kern w:val="2"/>
      <w:sz w:val="24"/>
      <w:szCs w:val="24"/>
      <w:lang w:val="en-US" w:eastAsia="zh-CN" w:bidi="ar-SA"/>
      <w14:ligatures w14:val="standardContextual"/>
    </w:rPr>
  </w:style>
  <w:style w:type="paragraph" w:styleId="2">
    <w:name w:val="heading 1"/>
    <w:basedOn w:val="1"/>
    <w:next w:val="1"/>
    <w:link w:val="21"/>
    <w:autoRedefine/>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autoRedefine/>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2"/>
    <w:next w:val="2"/>
    <w:link w:val="23"/>
    <w:autoRedefine/>
    <w:unhideWhenUsed/>
    <w:qFormat/>
    <w:uiPriority w:val="9"/>
    <w:pPr>
      <w:spacing w:before="160"/>
      <w:ind w:firstLine="0" w:firstLineChars="0"/>
      <w:outlineLvl w:val="2"/>
    </w:pPr>
    <w:rPr>
      <w:rFonts w:eastAsia="宋体"/>
      <w:b/>
      <w:color w:val="000000" w:themeColor="text1"/>
      <w:sz w:val="28"/>
      <w:szCs w:val="32"/>
      <w14:textFill>
        <w14:solidFill>
          <w14:schemeClr w14:val="tx1"/>
        </w14:solidFill>
      </w14:textFill>
    </w:rPr>
  </w:style>
  <w:style w:type="paragraph" w:styleId="5">
    <w:name w:val="heading 4"/>
    <w:basedOn w:val="1"/>
    <w:next w:val="1"/>
    <w:link w:val="24"/>
    <w:autoRedefine/>
    <w:semiHidden/>
    <w:unhideWhenUsed/>
    <w:qFormat/>
    <w:uiPriority w:val="9"/>
    <w:pPr>
      <w:keepNext/>
      <w:keepLines/>
      <w:spacing w:before="80" w:after="40"/>
      <w:outlineLvl w:val="3"/>
    </w:pPr>
    <w:rPr>
      <w:rFonts w:cstheme="majorBidi"/>
      <w:color w:val="104862" w:themeColor="accent1" w:themeShade="BF"/>
      <w:szCs w:val="28"/>
    </w:rPr>
  </w:style>
  <w:style w:type="paragraph" w:styleId="6">
    <w:name w:val="heading 5"/>
    <w:basedOn w:val="1"/>
    <w:next w:val="1"/>
    <w:link w:val="25"/>
    <w:autoRedefine/>
    <w:semiHidden/>
    <w:unhideWhenUsed/>
    <w:qFormat/>
    <w:uiPriority w:val="9"/>
    <w:pPr>
      <w:keepNext/>
      <w:keepLines/>
      <w:spacing w:before="80" w:after="40"/>
      <w:outlineLvl w:val="4"/>
    </w:pPr>
    <w:rPr>
      <w:rFonts w:cstheme="majorBidi"/>
      <w:color w:val="104862" w:themeColor="accent1" w:themeShade="BF"/>
    </w:rPr>
  </w:style>
  <w:style w:type="paragraph" w:styleId="7">
    <w:name w:val="heading 6"/>
    <w:basedOn w:val="1"/>
    <w:next w:val="1"/>
    <w:link w:val="26"/>
    <w:autoRedefine/>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7"/>
    <w:autoRedefine/>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autoRedefine/>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autoRedefine/>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autoRedefine/>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11">
    <w:name w:val="annotation text"/>
    <w:basedOn w:val="1"/>
    <w:link w:val="41"/>
    <w:autoRedefine/>
    <w:unhideWhenUsed/>
    <w:qFormat/>
    <w:uiPriority w:val="99"/>
  </w:style>
  <w:style w:type="paragraph" w:styleId="12">
    <w:name w:val="footer"/>
    <w:basedOn w:val="1"/>
    <w:link w:val="40"/>
    <w:autoRedefine/>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9"/>
    <w:autoRedefine/>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1"/>
    <w:autoRedefine/>
    <w:qFormat/>
    <w:uiPriority w:val="11"/>
    <w:pPr>
      <w:jc w:val="center"/>
    </w:pPr>
    <w:rPr>
      <w:rFonts w:asciiTheme="majorHAnsi" w:hAnsiTheme="maj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15">
    <w:name w:val="Title"/>
    <w:basedOn w:val="1"/>
    <w:next w:val="1"/>
    <w:link w:val="30"/>
    <w:autoRedefine/>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2"/>
    <w:autoRedefine/>
    <w:semiHidden/>
    <w:unhideWhenUsed/>
    <w:qFormat/>
    <w:uiPriority w:val="99"/>
    <w:rPr>
      <w:b/>
      <w:bCs/>
    </w:rPr>
  </w:style>
  <w:style w:type="table" w:styleId="18">
    <w:name w:val="Table Grid"/>
    <w:basedOn w:val="1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annotation reference"/>
    <w:basedOn w:val="19"/>
    <w:autoRedefine/>
    <w:semiHidden/>
    <w:unhideWhenUsed/>
    <w:qFormat/>
    <w:uiPriority w:val="99"/>
    <w:rPr>
      <w:sz w:val="21"/>
      <w:szCs w:val="21"/>
    </w:rPr>
  </w:style>
  <w:style w:type="character" w:customStyle="1" w:styleId="21">
    <w:name w:val="标题 1 字符"/>
    <w:basedOn w:val="19"/>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autoRedefine/>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autoRedefine/>
    <w:qFormat/>
    <w:uiPriority w:val="9"/>
    <w:rPr>
      <w:rFonts w:eastAsia="宋体" w:asciiTheme="majorHAnsi" w:hAnsiTheme="majorHAnsi" w:cstheme="majorBidi"/>
      <w:b/>
      <w:color w:val="000000" w:themeColor="text1"/>
      <w:sz w:val="28"/>
      <w:szCs w:val="32"/>
      <w14:textFill>
        <w14:solidFill>
          <w14:schemeClr w14:val="tx1"/>
        </w14:solidFill>
      </w14:textFill>
    </w:rPr>
  </w:style>
  <w:style w:type="character" w:customStyle="1" w:styleId="24">
    <w:name w:val="标题 4 字符"/>
    <w:basedOn w:val="19"/>
    <w:link w:val="5"/>
    <w:autoRedefine/>
    <w:semiHidden/>
    <w:qFormat/>
    <w:uiPriority w:val="9"/>
    <w:rPr>
      <w:rFonts w:cstheme="majorBidi"/>
      <w:color w:val="104862" w:themeColor="accent1" w:themeShade="BF"/>
      <w:sz w:val="28"/>
      <w:szCs w:val="28"/>
    </w:rPr>
  </w:style>
  <w:style w:type="character" w:customStyle="1" w:styleId="25">
    <w:name w:val="标题 5 字符"/>
    <w:basedOn w:val="19"/>
    <w:link w:val="6"/>
    <w:autoRedefine/>
    <w:semiHidden/>
    <w:qFormat/>
    <w:uiPriority w:val="9"/>
    <w:rPr>
      <w:rFonts w:cstheme="majorBidi"/>
      <w:color w:val="104862" w:themeColor="accent1" w:themeShade="BF"/>
      <w:sz w:val="24"/>
    </w:rPr>
  </w:style>
  <w:style w:type="character" w:customStyle="1" w:styleId="26">
    <w:name w:val="标题 6 字符"/>
    <w:basedOn w:val="19"/>
    <w:link w:val="7"/>
    <w:autoRedefine/>
    <w:semiHidden/>
    <w:qFormat/>
    <w:uiPriority w:val="9"/>
    <w:rPr>
      <w:rFonts w:cstheme="majorBidi"/>
      <w:b/>
      <w:bCs/>
      <w:color w:val="104862" w:themeColor="accent1" w:themeShade="BF"/>
    </w:rPr>
  </w:style>
  <w:style w:type="character" w:customStyle="1" w:styleId="27">
    <w:name w:val="标题 7 字符"/>
    <w:basedOn w:val="19"/>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5"/>
    <w:autoRedefine/>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autoRedefine/>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autoRedefine/>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autoRedefine/>
    <w:qFormat/>
    <w:uiPriority w:val="34"/>
    <w:pPr>
      <w:ind w:left="720"/>
      <w:contextualSpacing/>
    </w:pPr>
  </w:style>
  <w:style w:type="character" w:customStyle="1" w:styleId="35">
    <w:name w:val="明显强调1"/>
    <w:basedOn w:val="19"/>
    <w:autoRedefine/>
    <w:qFormat/>
    <w:uiPriority w:val="21"/>
    <w:rPr>
      <w:i/>
      <w:iCs/>
      <w:color w:val="104862" w:themeColor="accent1" w:themeShade="BF"/>
    </w:rPr>
  </w:style>
  <w:style w:type="paragraph" w:styleId="36">
    <w:name w:val="Intense Quote"/>
    <w:basedOn w:val="1"/>
    <w:next w:val="1"/>
    <w:link w:val="37"/>
    <w:autoRedefine/>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autoRedefine/>
    <w:qFormat/>
    <w:uiPriority w:val="30"/>
    <w:rPr>
      <w:i/>
      <w:iCs/>
      <w:color w:val="104862" w:themeColor="accent1" w:themeShade="BF"/>
    </w:rPr>
  </w:style>
  <w:style w:type="character" w:customStyle="1" w:styleId="38">
    <w:name w:val="明显参考1"/>
    <w:basedOn w:val="19"/>
    <w:autoRedefine/>
    <w:qFormat/>
    <w:uiPriority w:val="32"/>
    <w:rPr>
      <w:b/>
      <w:bCs/>
      <w:smallCaps/>
      <w:color w:val="104862" w:themeColor="accent1" w:themeShade="BF"/>
      <w:spacing w:val="5"/>
    </w:rPr>
  </w:style>
  <w:style w:type="character" w:customStyle="1" w:styleId="39">
    <w:name w:val="页眉 字符"/>
    <w:basedOn w:val="19"/>
    <w:link w:val="13"/>
    <w:autoRedefine/>
    <w:qFormat/>
    <w:uiPriority w:val="99"/>
    <w:rPr>
      <w:rFonts w:eastAsia="宋体"/>
      <w:sz w:val="18"/>
      <w:szCs w:val="18"/>
    </w:rPr>
  </w:style>
  <w:style w:type="character" w:customStyle="1" w:styleId="40">
    <w:name w:val="页脚 字符"/>
    <w:basedOn w:val="19"/>
    <w:link w:val="12"/>
    <w:autoRedefine/>
    <w:qFormat/>
    <w:uiPriority w:val="99"/>
    <w:rPr>
      <w:rFonts w:eastAsia="宋体"/>
      <w:sz w:val="18"/>
      <w:szCs w:val="18"/>
    </w:rPr>
  </w:style>
  <w:style w:type="character" w:customStyle="1" w:styleId="41">
    <w:name w:val="批注文字 字符"/>
    <w:basedOn w:val="19"/>
    <w:link w:val="11"/>
    <w:autoRedefine/>
    <w:qFormat/>
    <w:uiPriority w:val="99"/>
    <w:rPr>
      <w:rFonts w:eastAsia="宋体"/>
      <w:kern w:val="2"/>
      <w:sz w:val="28"/>
      <w:szCs w:val="24"/>
      <w14:ligatures w14:val="standardContextual"/>
    </w:rPr>
  </w:style>
  <w:style w:type="character" w:customStyle="1" w:styleId="42">
    <w:name w:val="批注主题 字符"/>
    <w:basedOn w:val="41"/>
    <w:link w:val="16"/>
    <w:autoRedefine/>
    <w:semiHidden/>
    <w:qFormat/>
    <w:uiPriority w:val="99"/>
    <w:rPr>
      <w:rFonts w:eastAsia="宋体"/>
      <w:b/>
      <w:bCs/>
      <w:kern w:val="2"/>
      <w:sz w:val="28"/>
      <w:szCs w:val="24"/>
      <w14:ligatures w14:val="standardContextual"/>
    </w:rPr>
  </w:style>
  <w:style w:type="character" w:styleId="43">
    <w:name w:val="Placeholder Text"/>
    <w:basedOn w:val="19"/>
    <w:autoRedefine/>
    <w:unhideWhenUsed/>
    <w:qFormat/>
    <w:uiPriority w:val="99"/>
    <w:rPr>
      <w:color w:val="666666"/>
    </w:rPr>
  </w:style>
  <w:style w:type="paragraph" w:customStyle="1" w:styleId="44">
    <w:name w:val="图名"/>
    <w:basedOn w:val="1"/>
    <w:autoRedefine/>
    <w:qFormat/>
    <w:uiPriority w:val="0"/>
    <w:pPr>
      <w:spacing w:line="360" w:lineRule="auto"/>
      <w:ind w:firstLine="0" w:firstLineChars="0"/>
      <w:jc w:val="center"/>
    </w:pPr>
    <w:rPr>
      <w:rFonts w:hint="eastAsia" w:eastAsia="黑体"/>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12</Pages>
  <Words>2434</Words>
  <Characters>2655</Characters>
  <Lines>139</Lines>
  <Paragraphs>164</Paragraphs>
  <TotalTime>14</TotalTime>
  <ScaleCrop>false</ScaleCrop>
  <LinksUpToDate>false</LinksUpToDate>
  <CharactersWithSpaces>4925</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2026-08-31T08:38:00Z</dcterms:created>
  <dc:creator>琬姝 陈</dc:creator>
  <cp:lastModifiedBy>FRANK,ZHANG</cp:lastModifiedBy>
  <dcterms:modified xsi:type="dcterms:W3CDTF">2026-10-14T01:11:18Z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eyJoZGlkIjoiNzFmNmQxNmE5ODFlYzVmOTQ1ZDg1YzU0MWM4MjNiNmUiLCJ1c2VySWQiOiI3ODcyNDY0OTAifQ==</vt:lpwstr>
  </property>
  <property fmtid="{D5CDD505-2E9C-101B-9397-08002B2CF9AE}" pid="3" name="KSOProductBuildVer">
    <vt:lpwstr>2052-12.1.0.16417</vt:lpwstr>
  </property>
  <property fmtid="{D5CDD505-2E9C-101B-9397-08002B2CF9AE}" pid="4" name="ICV">
    <vt:lpwstr>51E6621D5B374433A84747541B2509FF_13</vt:lpwstr>
  </property>
</Properties>
</file>