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2"/>
          <w:lang w:val="en-US" w:eastAsia="zh-CN" w:bidi="ar-SA"/>
        </w:rPr>
        <w:id w:val="147456739"/>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305C0498">
          <w:pPr>
            <w:spacing w:before="0" w:beforeLines="0" w:after="0" w:afterLines="0" w:line="240" w:lineRule="auto"/>
            <w:ind w:left="0" w:leftChars="0" w:right="0" w:rightChars="0" w:firstLine="0" w:firstLineChars="0"/>
            <w:jc w:val="center"/>
          </w:pPr>
          <w:bookmarkStart w:id="0" w:name="_Toc51256836"/>
          <w:bookmarkStart w:id="1" w:name="_Toc3792"/>
          <w:r>
            <w:rPr>
              <w:rFonts w:ascii="宋体" w:hAnsi="宋体" w:eastAsia="宋体"/>
              <w:b/>
              <w:bCs/>
              <w:sz w:val="36"/>
              <w:szCs w:val="36"/>
            </w:rPr>
            <w:t>目录</w:t>
          </w:r>
        </w:p>
        <w:p w14:paraId="0198A1DD">
          <w:pPr>
            <w:pStyle w:val="15"/>
            <w:tabs>
              <w:tab w:val="right" w:leader="dot" w:pos="8958"/>
            </w:tabs>
          </w:pPr>
          <w:r>
            <w:fldChar w:fldCharType="begin"/>
          </w:r>
          <w:r>
            <w:instrText xml:space="preserve">TOC \o "1-1" \h \u </w:instrText>
          </w:r>
          <w:r>
            <w:fldChar w:fldCharType="separate"/>
          </w:r>
          <w:r>
            <w:fldChar w:fldCharType="begin"/>
          </w:r>
          <w:r>
            <w:instrText xml:space="preserve"> HYPERLINK \l _Toc31936 </w:instrText>
          </w:r>
          <w:r>
            <w:fldChar w:fldCharType="separate"/>
          </w:r>
          <w:r>
            <w:rPr>
              <w:rFonts w:hint="eastAsia"/>
              <w:w w:val="98"/>
            </w:rPr>
            <w:t>毛子洄基金奖学金评定办法</w:t>
          </w:r>
          <w:r>
            <w:tab/>
          </w:r>
          <w:r>
            <w:fldChar w:fldCharType="begin"/>
          </w:r>
          <w:r>
            <w:instrText xml:space="preserve"> PAGEREF _Toc31936 \h </w:instrText>
          </w:r>
          <w:r>
            <w:fldChar w:fldCharType="separate"/>
          </w:r>
          <w:r>
            <w:t>2</w:t>
          </w:r>
          <w:r>
            <w:fldChar w:fldCharType="end"/>
          </w:r>
          <w:r>
            <w:fldChar w:fldCharType="end"/>
          </w:r>
        </w:p>
        <w:p w14:paraId="717F196F">
          <w:pPr>
            <w:pStyle w:val="15"/>
            <w:tabs>
              <w:tab w:val="right" w:leader="dot" w:pos="8958"/>
            </w:tabs>
          </w:pPr>
          <w:r>
            <w:fldChar w:fldCharType="begin"/>
          </w:r>
          <w:r>
            <w:instrText xml:space="preserve"> HYPERLINK \l _Toc16137 </w:instrText>
          </w:r>
          <w:r>
            <w:fldChar w:fldCharType="separate"/>
          </w:r>
          <w:r>
            <w:rPr>
              <w:rFonts w:hint="eastAsia"/>
              <w:w w:val="98"/>
            </w:rPr>
            <w:t>中安经管奖学金评定办法</w:t>
          </w:r>
          <w:r>
            <w:tab/>
          </w:r>
          <w:r>
            <w:fldChar w:fldCharType="begin"/>
          </w:r>
          <w:r>
            <w:instrText xml:space="preserve"> PAGEREF _Toc16137 \h </w:instrText>
          </w:r>
          <w:r>
            <w:fldChar w:fldCharType="separate"/>
          </w:r>
          <w:r>
            <w:t>3</w:t>
          </w:r>
          <w:r>
            <w:fldChar w:fldCharType="end"/>
          </w:r>
          <w:r>
            <w:fldChar w:fldCharType="end"/>
          </w:r>
        </w:p>
        <w:p w14:paraId="3B9031CC">
          <w:pPr>
            <w:pStyle w:val="15"/>
            <w:tabs>
              <w:tab w:val="right" w:leader="dot" w:pos="8958"/>
            </w:tabs>
          </w:pPr>
          <w:r>
            <w:fldChar w:fldCharType="begin"/>
          </w:r>
          <w:r>
            <w:instrText xml:space="preserve"> HYPERLINK \l _Toc2303 </w:instrText>
          </w:r>
          <w:r>
            <w:fldChar w:fldCharType="separate"/>
          </w:r>
          <w:r>
            <w:rPr>
              <w:rFonts w:hint="eastAsia"/>
              <w:w w:val="98"/>
              <w:highlight w:val="none"/>
            </w:rPr>
            <w:t>管84级、85级校友经英励志奖学金评定办法</w:t>
          </w:r>
          <w:r>
            <w:tab/>
          </w:r>
          <w:r>
            <w:fldChar w:fldCharType="begin"/>
          </w:r>
          <w:r>
            <w:instrText xml:space="preserve"> PAGEREF _Toc2303 \h </w:instrText>
          </w:r>
          <w:r>
            <w:fldChar w:fldCharType="separate"/>
          </w:r>
          <w:r>
            <w:t>4</w:t>
          </w:r>
          <w:r>
            <w:fldChar w:fldCharType="end"/>
          </w:r>
          <w:r>
            <w:fldChar w:fldCharType="end"/>
          </w:r>
        </w:p>
        <w:p w14:paraId="15B9BD22">
          <w:pPr>
            <w:pStyle w:val="15"/>
            <w:tabs>
              <w:tab w:val="right" w:leader="dot" w:pos="8958"/>
            </w:tabs>
          </w:pPr>
          <w:r>
            <w:fldChar w:fldCharType="begin"/>
          </w:r>
          <w:r>
            <w:instrText xml:space="preserve"> HYPERLINK \l _Toc1818 </w:instrText>
          </w:r>
          <w:r>
            <w:fldChar w:fldCharType="separate"/>
          </w:r>
          <w:r>
            <w:rPr>
              <w:rFonts w:hint="eastAsia"/>
              <w:w w:val="98"/>
            </w:rPr>
            <w:t>管信2001级经英奖学金评定办法</w:t>
          </w:r>
          <w:r>
            <w:tab/>
          </w:r>
          <w:r>
            <w:fldChar w:fldCharType="begin"/>
          </w:r>
          <w:r>
            <w:instrText xml:space="preserve"> PAGEREF _Toc1818 \h </w:instrText>
          </w:r>
          <w:r>
            <w:fldChar w:fldCharType="separate"/>
          </w:r>
          <w:r>
            <w:t>5</w:t>
          </w:r>
          <w:r>
            <w:fldChar w:fldCharType="end"/>
          </w:r>
          <w:r>
            <w:fldChar w:fldCharType="end"/>
          </w:r>
        </w:p>
        <w:p w14:paraId="503A1BC6">
          <w:pPr>
            <w:pStyle w:val="15"/>
            <w:tabs>
              <w:tab w:val="right" w:leader="dot" w:pos="8958"/>
            </w:tabs>
          </w:pPr>
          <w:r>
            <w:fldChar w:fldCharType="begin"/>
          </w:r>
          <w:r>
            <w:instrText xml:space="preserve"> HYPERLINK \l _Toc3457 </w:instrText>
          </w:r>
          <w:r>
            <w:fldChar w:fldCharType="separate"/>
          </w:r>
          <w:r>
            <w:rPr>
              <w:rFonts w:hint="eastAsia"/>
              <w:w w:val="98"/>
              <w:highlight w:val="none"/>
            </w:rPr>
            <w:t>“周成勇”奖学金评定办法</w:t>
          </w:r>
          <w:r>
            <w:tab/>
          </w:r>
          <w:r>
            <w:fldChar w:fldCharType="begin"/>
          </w:r>
          <w:r>
            <w:instrText xml:space="preserve"> PAGEREF _Toc3457 \h </w:instrText>
          </w:r>
          <w:r>
            <w:fldChar w:fldCharType="separate"/>
          </w:r>
          <w:r>
            <w:t>6</w:t>
          </w:r>
          <w:r>
            <w:fldChar w:fldCharType="end"/>
          </w:r>
          <w:r>
            <w:fldChar w:fldCharType="end"/>
          </w:r>
        </w:p>
        <w:p w14:paraId="419F885C">
          <w:pPr>
            <w:pStyle w:val="15"/>
            <w:tabs>
              <w:tab w:val="right" w:leader="dot" w:pos="8958"/>
            </w:tabs>
          </w:pPr>
          <w:r>
            <w:fldChar w:fldCharType="begin"/>
          </w:r>
          <w:r>
            <w:instrText xml:space="preserve"> HYPERLINK \l _Toc31253 </w:instrText>
          </w:r>
          <w:r>
            <w:fldChar w:fldCharType="separate"/>
          </w:r>
          <w:r>
            <w:rPr>
              <w:rFonts w:hint="eastAsia"/>
            </w:rPr>
            <w:t>经济管理学院“耀煌奖学金”实施细则</w:t>
          </w:r>
          <w:r>
            <w:tab/>
          </w:r>
          <w:r>
            <w:fldChar w:fldCharType="begin"/>
          </w:r>
          <w:r>
            <w:instrText xml:space="preserve"> PAGEREF _Toc31253 \h </w:instrText>
          </w:r>
          <w:r>
            <w:fldChar w:fldCharType="separate"/>
          </w:r>
          <w:r>
            <w:t>7</w:t>
          </w:r>
          <w:r>
            <w:fldChar w:fldCharType="end"/>
          </w:r>
          <w:r>
            <w:fldChar w:fldCharType="end"/>
          </w:r>
        </w:p>
        <w:p w14:paraId="5F88FAAA">
          <w:pPr>
            <w:pStyle w:val="15"/>
            <w:tabs>
              <w:tab w:val="right" w:leader="dot" w:pos="8958"/>
            </w:tabs>
          </w:pPr>
          <w:r>
            <w:fldChar w:fldCharType="begin"/>
          </w:r>
          <w:r>
            <w:instrText xml:space="preserve"> HYPERLINK \l _Toc28462 </w:instrText>
          </w:r>
          <w:r>
            <w:fldChar w:fldCharType="separate"/>
          </w:r>
          <w:r>
            <w:rPr>
              <w:rFonts w:hint="eastAsia"/>
            </w:rPr>
            <w:t>经济管理学院“元朔动力奖学金”评定办法</w:t>
          </w:r>
          <w:r>
            <w:tab/>
          </w:r>
          <w:r>
            <w:fldChar w:fldCharType="begin"/>
          </w:r>
          <w:r>
            <w:instrText xml:space="preserve"> PAGEREF _Toc28462 \h </w:instrText>
          </w:r>
          <w:r>
            <w:fldChar w:fldCharType="separate"/>
          </w:r>
          <w:r>
            <w:t>10</w:t>
          </w:r>
          <w:r>
            <w:fldChar w:fldCharType="end"/>
          </w:r>
          <w:r>
            <w:fldChar w:fldCharType="end"/>
          </w:r>
        </w:p>
        <w:p w14:paraId="6F7D69BF">
          <w:pPr>
            <w:rPr>
              <w:rFonts w:hint="eastAsia" w:asciiTheme="minorHAnsi" w:hAnsiTheme="minorHAnsi" w:eastAsiaTheme="minorEastAsia"/>
              <w:sz w:val="21"/>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531" w:right="1474" w:bottom="1531" w:left="1474" w:header="851" w:footer="992" w:gutter="0"/>
              <w:pgNumType w:fmt="decimal"/>
              <w:cols w:space="425" w:num="1"/>
              <w:docGrid w:type="lines" w:linePitch="312" w:charSpace="0"/>
            </w:sectPr>
          </w:pPr>
          <w:r>
            <w:fldChar w:fldCharType="end"/>
          </w:r>
          <w:bookmarkEnd w:id="0"/>
          <w:bookmarkEnd w:id="1"/>
        </w:p>
      </w:sdtContent>
    </w:sdt>
    <w:p w14:paraId="3AC8527E">
      <w:pPr>
        <w:pStyle w:val="2"/>
        <w:spacing w:after="156"/>
        <w:ind w:firstLine="625"/>
        <w:rPr>
          <w:w w:val="98"/>
        </w:rPr>
      </w:pPr>
      <w:bookmarkStart w:id="2" w:name="_Toc25773"/>
      <w:bookmarkStart w:id="3" w:name="_Toc15749"/>
      <w:bookmarkStart w:id="4" w:name="_Toc31936"/>
      <w:r>
        <w:rPr>
          <w:rFonts w:hint="eastAsia"/>
          <w:w w:val="98"/>
        </w:rPr>
        <w:t>毛子洄基金奖学金评定办法</w:t>
      </w:r>
      <w:bookmarkEnd w:id="2"/>
      <w:bookmarkEnd w:id="3"/>
      <w:bookmarkEnd w:id="4"/>
    </w:p>
    <w:p w14:paraId="74146B47">
      <w:pPr>
        <w:ind w:firstLine="480"/>
      </w:pPr>
      <w:r>
        <w:rPr>
          <w:rFonts w:hint="eastAsia"/>
        </w:rPr>
        <w:t>西南交通大学毛子洄基金奖学金系我校经济管理学院首任院长毛子洄教授的夫人EVA女士及其学生王昌达、徐立华、徐锡广先生共同捐资设立，用于奖励品学兼优的在校学生。毛子洄基金奖学金自</w:t>
      </w:r>
      <w:r>
        <w:t>2004</w:t>
      </w:r>
      <w:r>
        <w:rPr>
          <w:rFonts w:hint="eastAsia"/>
        </w:rPr>
        <w:t>年开始评定，其评定办法如下：</w:t>
      </w:r>
    </w:p>
    <w:p w14:paraId="3F34ACC2">
      <w:pPr>
        <w:ind w:firstLine="0" w:firstLineChars="0"/>
        <w:rPr>
          <w:rFonts w:ascii="黑体" w:hAnsi="黑体" w:eastAsia="黑体"/>
          <w:b/>
          <w:szCs w:val="24"/>
        </w:rPr>
      </w:pPr>
      <w:r>
        <w:rPr>
          <w:rFonts w:hint="eastAsia" w:ascii="黑体" w:hAnsi="黑体" w:eastAsia="黑体"/>
          <w:b/>
          <w:szCs w:val="24"/>
          <w:shd w:val="clear" w:color="auto" w:fill="FFFFFF"/>
          <w:lang w:bidi="ar"/>
        </w:rPr>
        <w:t>一、奖励对象：</w:t>
      </w:r>
    </w:p>
    <w:p w14:paraId="11104569">
      <w:pPr>
        <w:ind w:firstLine="480"/>
        <w:rPr>
          <w:sz w:val="18"/>
          <w:szCs w:val="18"/>
        </w:rPr>
      </w:pPr>
      <w:r>
        <w:rPr>
          <w:rFonts w:hint="eastAsia"/>
          <w:shd w:val="clear" w:color="auto" w:fill="FFFFFF"/>
          <w:lang w:bidi="ar"/>
        </w:rPr>
        <w:t>西南交通大学经济管理学院在校本科生和研究生</w:t>
      </w:r>
    </w:p>
    <w:p w14:paraId="54B0A9B9">
      <w:pPr>
        <w:ind w:firstLine="0" w:firstLineChars="0"/>
        <w:rPr>
          <w:rFonts w:ascii="黑体" w:hAnsi="黑体" w:eastAsia="黑体"/>
          <w:b/>
          <w:szCs w:val="24"/>
        </w:rPr>
      </w:pPr>
      <w:r>
        <w:rPr>
          <w:rFonts w:hint="eastAsia" w:ascii="黑体" w:hAnsi="黑体" w:eastAsia="黑体"/>
          <w:b/>
          <w:szCs w:val="24"/>
          <w:shd w:val="clear" w:color="auto" w:fill="FFFFFF"/>
          <w:lang w:bidi="ar"/>
        </w:rPr>
        <w:t>二、奖励人数及金额：</w:t>
      </w:r>
    </w:p>
    <w:p w14:paraId="225FEF4E">
      <w:pPr>
        <w:ind w:firstLine="480"/>
        <w:rPr>
          <w:sz w:val="18"/>
          <w:szCs w:val="18"/>
        </w:rPr>
      </w:pPr>
      <w:r>
        <w:rPr>
          <w:rFonts w:hint="eastAsia"/>
          <w:shd w:val="clear" w:color="auto" w:fill="FFFFFF"/>
          <w:lang w:bidi="ar"/>
        </w:rPr>
        <w:t>本学年奖励</w:t>
      </w:r>
      <w:r>
        <w:rPr>
          <w:shd w:val="clear" w:color="auto" w:fill="FFFFFF"/>
          <w:lang w:bidi="ar"/>
        </w:rPr>
        <w:t>1</w:t>
      </w:r>
      <w:r>
        <w:rPr>
          <w:rFonts w:hint="eastAsia"/>
          <w:shd w:val="clear" w:color="auto" w:fill="FFFFFF"/>
          <w:lang w:bidi="ar"/>
        </w:rPr>
        <w:t>名本科生，</w:t>
      </w:r>
      <w:r>
        <w:rPr>
          <w:shd w:val="clear" w:color="auto" w:fill="FFFFFF"/>
          <w:lang w:bidi="ar"/>
        </w:rPr>
        <w:t>1</w:t>
      </w:r>
      <w:r>
        <w:rPr>
          <w:rFonts w:hint="eastAsia"/>
          <w:shd w:val="clear" w:color="auto" w:fill="FFFFFF"/>
          <w:lang w:bidi="ar"/>
        </w:rPr>
        <w:t>名硕士研究生，每人奖励人民币3000元。</w:t>
      </w:r>
    </w:p>
    <w:p w14:paraId="3139249E">
      <w:pPr>
        <w:ind w:firstLine="0" w:firstLineChars="0"/>
        <w:rPr>
          <w:rFonts w:ascii="黑体" w:hAnsi="黑体" w:eastAsia="黑体"/>
          <w:b/>
          <w:szCs w:val="24"/>
          <w:shd w:val="clear" w:color="auto" w:fill="FFFFFF"/>
          <w:lang w:bidi="ar"/>
        </w:rPr>
      </w:pPr>
      <w:r>
        <w:rPr>
          <w:rFonts w:hint="eastAsia" w:ascii="黑体" w:hAnsi="黑体" w:eastAsia="黑体"/>
          <w:b/>
          <w:szCs w:val="24"/>
          <w:shd w:val="clear" w:color="auto" w:fill="FFFFFF"/>
          <w:lang w:bidi="ar"/>
        </w:rPr>
        <w:t>三、评选条件：</w:t>
      </w:r>
    </w:p>
    <w:p w14:paraId="17873740">
      <w:pPr>
        <w:ind w:firstLine="480"/>
        <w:rPr>
          <w:shd w:val="clear" w:color="auto" w:fill="FFFFFF"/>
          <w:lang w:bidi="ar"/>
        </w:rPr>
      </w:pPr>
      <w:r>
        <w:rPr>
          <w:rFonts w:hint="eastAsia"/>
          <w:shd w:val="clear" w:color="auto" w:fill="FFFFFF"/>
          <w:lang w:bidi="ar"/>
        </w:rPr>
        <w:t>1．凡参评学年综合素质评价成绩年级专业排名位于前40%且智育成绩85分以上，品学兼优的在校学生均具备申请资格。</w:t>
      </w:r>
    </w:p>
    <w:p w14:paraId="1CB62B55">
      <w:pPr>
        <w:ind w:firstLine="480"/>
        <w:rPr>
          <w:shd w:val="clear" w:color="auto" w:fill="FFFFFF"/>
          <w:lang w:bidi="ar"/>
        </w:rPr>
      </w:pPr>
      <w:r>
        <w:rPr>
          <w:rFonts w:hint="eastAsia"/>
          <w:shd w:val="clear" w:color="auto" w:fill="FFFFFF"/>
          <w:lang w:bidi="ar"/>
        </w:rPr>
        <w:t>2．奖学金获得者德、智、体综合表现符合综合奖学金评定条件。</w:t>
      </w:r>
    </w:p>
    <w:p w14:paraId="2D5080FB">
      <w:pPr>
        <w:ind w:firstLine="480"/>
        <w:rPr>
          <w:shd w:val="clear" w:color="auto" w:fill="FFFFFF"/>
          <w:lang w:bidi="ar"/>
        </w:rPr>
      </w:pPr>
      <w:r>
        <w:rPr>
          <w:rFonts w:hint="eastAsia"/>
          <w:shd w:val="clear" w:color="auto" w:fill="FFFFFF"/>
          <w:lang w:bidi="ar"/>
        </w:rPr>
        <w:t>3．评奖程序按西南交通大学专项奖学金评定程序执行。</w:t>
      </w:r>
    </w:p>
    <w:p w14:paraId="4B4A4FF6">
      <w:pPr>
        <w:ind w:firstLine="480"/>
        <w:rPr>
          <w:shd w:val="clear" w:color="auto" w:fill="FFFFFF"/>
          <w:lang w:bidi="ar"/>
        </w:rPr>
      </w:pPr>
      <w:r>
        <w:rPr>
          <w:rFonts w:hint="eastAsia"/>
          <w:shd w:val="clear" w:color="auto" w:fill="FFFFFF"/>
          <w:lang w:bidi="ar"/>
        </w:rPr>
        <w:t>4．本办法解释权归西南交通大学毛子洄基金奖学金委员会所有。</w:t>
      </w:r>
    </w:p>
    <w:p w14:paraId="7BEEDA86">
      <w:pPr>
        <w:ind w:firstLine="0" w:firstLineChars="0"/>
        <w:rPr>
          <w:rFonts w:ascii="黑体" w:hAnsi="黑体" w:eastAsia="黑体"/>
          <w:b/>
          <w:szCs w:val="24"/>
          <w:shd w:val="clear" w:color="auto" w:fill="FFFFFF"/>
          <w:lang w:bidi="ar"/>
        </w:rPr>
      </w:pPr>
      <w:r>
        <w:rPr>
          <w:rFonts w:hint="eastAsia" w:ascii="黑体" w:hAnsi="黑体" w:eastAsia="黑体"/>
          <w:b/>
          <w:szCs w:val="24"/>
          <w:shd w:val="clear" w:color="auto" w:fill="FFFFFF"/>
          <w:lang w:bidi="ar"/>
        </w:rPr>
        <w:t>四、评选办法</w:t>
      </w:r>
    </w:p>
    <w:p w14:paraId="7D0B7EC5">
      <w:pPr>
        <w:ind w:firstLine="480"/>
        <w:rPr>
          <w:shd w:val="clear" w:color="auto" w:fill="FFFFFF"/>
          <w:lang w:bidi="ar"/>
        </w:rPr>
      </w:pPr>
      <w:r>
        <w:rPr>
          <w:rFonts w:hint="eastAsia"/>
          <w:shd w:val="clear" w:color="auto" w:fill="FFFFFF"/>
          <w:lang w:bidi="ar"/>
        </w:rPr>
        <w:t>申请及评奖程序按学校相关奖助学金评审管理办法执行。</w:t>
      </w:r>
    </w:p>
    <w:p w14:paraId="36A6B1ED">
      <w:pPr>
        <w:ind w:firstLine="480"/>
        <w:rPr>
          <w:shd w:val="clear" w:color="auto" w:fill="FFFFFF"/>
          <w:lang w:bidi="ar"/>
        </w:rPr>
      </w:pPr>
      <w:r>
        <w:rPr>
          <w:rFonts w:hint="eastAsia"/>
          <w:shd w:val="clear" w:color="auto" w:fill="FFFFFF"/>
          <w:lang w:bidi="ar"/>
        </w:rPr>
        <w:br w:type="page"/>
      </w:r>
      <w:bookmarkStart w:id="24" w:name="_GoBack"/>
      <w:bookmarkEnd w:id="24"/>
    </w:p>
    <w:p w14:paraId="269F7560">
      <w:pPr>
        <w:pStyle w:val="2"/>
        <w:spacing w:after="156"/>
        <w:ind w:firstLine="625"/>
        <w:rPr>
          <w:w w:val="98"/>
        </w:rPr>
      </w:pPr>
      <w:bookmarkStart w:id="5" w:name="_Toc22622"/>
      <w:bookmarkStart w:id="6" w:name="_Toc22675"/>
      <w:bookmarkStart w:id="7" w:name="_Toc16137"/>
      <w:r>
        <w:rPr>
          <w:rFonts w:hint="eastAsia"/>
          <w:w w:val="98"/>
        </w:rPr>
        <w:t>中安经管奖学金评定办法</w:t>
      </w:r>
      <w:bookmarkEnd w:id="5"/>
      <w:bookmarkEnd w:id="6"/>
      <w:bookmarkEnd w:id="7"/>
    </w:p>
    <w:p w14:paraId="4F74F664">
      <w:pPr>
        <w:ind w:firstLine="480"/>
      </w:pPr>
      <w:r>
        <w:rPr>
          <w:rFonts w:hint="eastAsia"/>
        </w:rPr>
        <w:t>西南交通大学中安经管基金奖学金系我校校友，现任广州中安科技有限公司董事长的卫中安先生捐资设立，用于奖励品学兼优的经济管理学院在校本科、研究生。中安经管基金奖学金自</w:t>
      </w:r>
      <w:r>
        <w:t>2006</w:t>
      </w:r>
      <w:r>
        <w:rPr>
          <w:rFonts w:hint="eastAsia"/>
        </w:rPr>
        <w:t>年开始设立，其评定办法如下：</w:t>
      </w:r>
    </w:p>
    <w:p w14:paraId="08F25041">
      <w:pPr>
        <w:ind w:firstLine="0" w:firstLineChars="0"/>
        <w:rPr>
          <w:rFonts w:ascii="黑体" w:hAnsi="黑体" w:eastAsia="黑体"/>
          <w:b/>
          <w:szCs w:val="24"/>
          <w:shd w:val="clear" w:color="auto" w:fill="FFFFFF"/>
          <w:lang w:bidi="ar"/>
        </w:rPr>
      </w:pPr>
      <w:r>
        <w:rPr>
          <w:rFonts w:hint="eastAsia" w:ascii="黑体" w:hAnsi="黑体" w:eastAsia="黑体"/>
          <w:b/>
          <w:szCs w:val="24"/>
          <w:shd w:val="clear" w:color="auto" w:fill="FFFFFF"/>
          <w:lang w:bidi="ar"/>
        </w:rPr>
        <w:t>一、奖励对象：</w:t>
      </w:r>
    </w:p>
    <w:p w14:paraId="37AA7139">
      <w:pPr>
        <w:ind w:firstLine="480"/>
        <w:rPr>
          <w:shd w:val="clear" w:color="auto" w:fill="FFFFFF"/>
          <w:lang w:bidi="ar"/>
        </w:rPr>
      </w:pPr>
      <w:r>
        <w:rPr>
          <w:rFonts w:hint="eastAsia"/>
          <w:shd w:val="clear" w:color="auto" w:fill="FFFFFF"/>
          <w:lang w:bidi="ar"/>
        </w:rPr>
        <w:t>西南交通大学经济管理学院在校统招本科生、研究生。</w:t>
      </w:r>
    </w:p>
    <w:p w14:paraId="456626E3">
      <w:pPr>
        <w:ind w:firstLine="0" w:firstLineChars="0"/>
        <w:rPr>
          <w:rFonts w:ascii="黑体" w:hAnsi="黑体" w:eastAsia="黑体"/>
          <w:b/>
          <w:szCs w:val="24"/>
          <w:shd w:val="clear" w:color="auto" w:fill="FFFFFF"/>
          <w:lang w:bidi="ar"/>
        </w:rPr>
      </w:pPr>
      <w:r>
        <w:rPr>
          <w:rFonts w:hint="eastAsia" w:ascii="黑体" w:hAnsi="黑体" w:eastAsia="黑体"/>
          <w:b/>
          <w:szCs w:val="24"/>
          <w:shd w:val="clear" w:color="auto" w:fill="FFFFFF"/>
          <w:lang w:bidi="ar"/>
        </w:rPr>
        <w:t>二、奖励人数及金额：</w:t>
      </w:r>
    </w:p>
    <w:p w14:paraId="0A03CE79">
      <w:pPr>
        <w:widowControl/>
        <w:shd w:val="clear" w:color="auto" w:fill="FFFFFF"/>
        <w:adjustRightInd w:val="0"/>
        <w:snapToGrid w:val="0"/>
        <w:ind w:firstLine="480"/>
        <w:jc w:val="left"/>
        <w:rPr>
          <w:rFonts w:ascii="宋体" w:hAnsi="宋体" w:cs="宋体"/>
          <w:bCs/>
          <w:color w:val="000000"/>
          <w:kern w:val="0"/>
          <w:szCs w:val="24"/>
          <w:shd w:val="clear" w:color="auto" w:fill="FFFFFF"/>
          <w:lang w:bidi="ar"/>
        </w:rPr>
      </w:pPr>
      <w:r>
        <w:rPr>
          <w:rFonts w:hint="eastAsia"/>
        </w:rPr>
        <w:t>本学年奖励</w:t>
      </w:r>
      <w:r>
        <w:t>1</w:t>
      </w:r>
      <w:r>
        <w:rPr>
          <w:rFonts w:hint="eastAsia"/>
        </w:rPr>
        <w:t>名本科生、1名博士生，本科生每人奖励人民币1500元</w:t>
      </w:r>
      <w:r>
        <w:rPr>
          <w:rFonts w:hint="eastAsia" w:ascii="宋体" w:hAnsi="宋体" w:cs="宋体"/>
          <w:bCs/>
          <w:color w:val="000000"/>
          <w:kern w:val="0"/>
          <w:szCs w:val="24"/>
          <w:shd w:val="clear" w:color="auto" w:fill="FFFFFF"/>
          <w:lang w:bidi="ar"/>
        </w:rPr>
        <w:t>，</w:t>
      </w:r>
      <w:r>
        <w:rPr>
          <w:rFonts w:hint="eastAsia"/>
        </w:rPr>
        <w:t>本科生每人奖励人民币</w:t>
      </w:r>
      <w:r>
        <w:t>30</w:t>
      </w:r>
      <w:r>
        <w:rPr>
          <w:rFonts w:hint="eastAsia"/>
        </w:rPr>
        <w:t>00元</w:t>
      </w:r>
      <w:r>
        <w:rPr>
          <w:rFonts w:hint="eastAsia" w:ascii="宋体" w:hAnsi="宋体" w:cs="宋体"/>
          <w:bCs/>
          <w:color w:val="000000"/>
          <w:kern w:val="0"/>
          <w:szCs w:val="24"/>
          <w:shd w:val="clear" w:color="auto" w:fill="FFFFFF"/>
          <w:lang w:bidi="ar"/>
        </w:rPr>
        <w:t>。  </w:t>
      </w:r>
    </w:p>
    <w:p w14:paraId="260FD05A">
      <w:pPr>
        <w:ind w:firstLine="0" w:firstLineChars="0"/>
        <w:rPr>
          <w:rFonts w:ascii="黑体" w:hAnsi="黑体" w:eastAsia="黑体"/>
          <w:b/>
          <w:szCs w:val="24"/>
          <w:shd w:val="clear" w:color="auto" w:fill="FFFFFF"/>
          <w:lang w:bidi="ar"/>
        </w:rPr>
      </w:pPr>
      <w:r>
        <w:rPr>
          <w:rFonts w:hint="eastAsia" w:ascii="黑体" w:hAnsi="黑体" w:eastAsia="黑体"/>
          <w:b/>
          <w:szCs w:val="24"/>
          <w:shd w:val="clear" w:color="auto" w:fill="FFFFFF"/>
          <w:lang w:bidi="ar"/>
        </w:rPr>
        <w:t>三、评选条件：</w:t>
      </w:r>
    </w:p>
    <w:p w14:paraId="4AA28D0A">
      <w:pPr>
        <w:ind w:firstLine="480"/>
        <w:rPr>
          <w:shd w:val="clear" w:color="auto" w:fill="FFFFFF"/>
          <w:lang w:bidi="ar"/>
        </w:rPr>
      </w:pPr>
      <w:r>
        <w:rPr>
          <w:rFonts w:hint="eastAsia"/>
          <w:shd w:val="clear" w:color="auto" w:fill="FFFFFF"/>
          <w:lang w:bidi="ar"/>
        </w:rPr>
        <w:t>1. 凡参评学年综合素质评价成绩年级专业排名位于前40%且智育成绩85分以上，品学兼优的在校学生均具备申请资格。</w:t>
      </w:r>
    </w:p>
    <w:p w14:paraId="6AEA4520">
      <w:pPr>
        <w:ind w:firstLine="480"/>
        <w:rPr>
          <w:shd w:val="clear" w:color="auto" w:fill="FFFFFF"/>
          <w:lang w:bidi="ar"/>
        </w:rPr>
      </w:pPr>
      <w:r>
        <w:rPr>
          <w:rFonts w:hint="eastAsia"/>
          <w:shd w:val="clear" w:color="auto" w:fill="FFFFFF"/>
          <w:lang w:bidi="ar"/>
        </w:rPr>
        <w:t>2. 申请人的德、智、体综合表现符合西南交通大学专项奖学金评定条件。</w:t>
      </w:r>
    </w:p>
    <w:p w14:paraId="30288F0A">
      <w:pPr>
        <w:ind w:firstLine="480"/>
        <w:rPr>
          <w:shd w:val="clear" w:color="auto" w:fill="FFFFFF"/>
          <w:lang w:bidi="ar"/>
        </w:rPr>
      </w:pPr>
      <w:r>
        <w:rPr>
          <w:rFonts w:hint="eastAsia"/>
          <w:shd w:val="clear" w:color="auto" w:fill="FFFFFF"/>
          <w:lang w:bidi="ar"/>
        </w:rPr>
        <w:t>3. 评奖程序按西南交通大学专项奖学金评定程序执行。</w:t>
      </w:r>
    </w:p>
    <w:p w14:paraId="70AA1F51">
      <w:pPr>
        <w:ind w:firstLine="480"/>
        <w:rPr>
          <w:shd w:val="clear" w:color="auto" w:fill="FFFFFF"/>
          <w:lang w:bidi="ar"/>
        </w:rPr>
      </w:pPr>
      <w:r>
        <w:rPr>
          <w:rFonts w:hint="eastAsia"/>
          <w:shd w:val="clear" w:color="auto" w:fill="FFFFFF"/>
          <w:lang w:bidi="ar"/>
        </w:rPr>
        <w:t>3</w:t>
      </w:r>
      <w:r>
        <w:rPr>
          <w:shd w:val="clear" w:color="auto" w:fill="FFFFFF"/>
          <w:lang w:bidi="ar"/>
        </w:rPr>
        <w:t>.</w:t>
      </w:r>
      <w:r>
        <w:rPr>
          <w:rFonts w:hint="eastAsia"/>
          <w:shd w:val="clear" w:color="auto" w:fill="FFFFFF"/>
          <w:lang w:bidi="ar"/>
        </w:rPr>
        <w:t xml:space="preserve"> 本评奖办法的解释权属西南交通大学中安经管奖学基金理事会。</w:t>
      </w:r>
    </w:p>
    <w:p w14:paraId="3E7DB8F5">
      <w:pPr>
        <w:ind w:firstLine="0" w:firstLineChars="0"/>
        <w:rPr>
          <w:rFonts w:ascii="黑体" w:hAnsi="黑体" w:eastAsia="黑体"/>
          <w:b/>
          <w:szCs w:val="24"/>
          <w:shd w:val="clear" w:color="auto" w:fill="FFFFFF"/>
          <w:lang w:bidi="ar"/>
        </w:rPr>
      </w:pPr>
      <w:r>
        <w:rPr>
          <w:rFonts w:hint="eastAsia" w:ascii="黑体" w:hAnsi="黑体" w:eastAsia="黑体"/>
          <w:b/>
          <w:szCs w:val="24"/>
          <w:shd w:val="clear" w:color="auto" w:fill="FFFFFF"/>
          <w:lang w:bidi="ar"/>
        </w:rPr>
        <w:t>四、评选办法</w:t>
      </w:r>
    </w:p>
    <w:p w14:paraId="0B26D811">
      <w:pPr>
        <w:ind w:firstLine="480"/>
        <w:rPr>
          <w:shd w:val="clear" w:color="auto" w:fill="FFFFFF"/>
          <w:lang w:bidi="ar"/>
        </w:rPr>
      </w:pPr>
      <w:r>
        <w:rPr>
          <w:rFonts w:hint="eastAsia"/>
          <w:shd w:val="clear" w:color="auto" w:fill="FFFFFF"/>
          <w:lang w:bidi="ar"/>
        </w:rPr>
        <w:t>申请及评奖程序按学校相关奖助学金评审管理办法执行。</w:t>
      </w:r>
    </w:p>
    <w:p w14:paraId="015A8B50">
      <w:pPr>
        <w:ind w:firstLine="480"/>
        <w:rPr>
          <w:shd w:val="clear" w:color="auto" w:fill="FFFFFF"/>
          <w:lang w:bidi="ar"/>
        </w:rPr>
      </w:pPr>
      <w:r>
        <w:rPr>
          <w:rFonts w:hint="eastAsia"/>
          <w:shd w:val="clear" w:color="auto" w:fill="FFFFFF"/>
          <w:lang w:bidi="ar"/>
        </w:rPr>
        <w:br w:type="page"/>
      </w:r>
    </w:p>
    <w:p w14:paraId="5896FD06">
      <w:pPr>
        <w:rPr>
          <w:rFonts w:hint="eastAsia"/>
          <w:w w:val="98"/>
          <w:highlight w:val="none"/>
        </w:rPr>
      </w:pPr>
    </w:p>
    <w:p w14:paraId="2A39FB70">
      <w:pPr>
        <w:pStyle w:val="2"/>
        <w:spacing w:after="156"/>
        <w:ind w:firstLine="560"/>
        <w:rPr>
          <w:rFonts w:hint="eastAsia"/>
          <w:w w:val="98"/>
          <w:highlight w:val="none"/>
        </w:rPr>
      </w:pPr>
      <w:bookmarkStart w:id="8" w:name="_Toc30230"/>
      <w:bookmarkStart w:id="9" w:name="_Toc26898"/>
      <w:bookmarkStart w:id="10" w:name="_Toc2303"/>
      <w:r>
        <w:rPr>
          <w:rFonts w:hint="eastAsia"/>
          <w:w w:val="98"/>
          <w:highlight w:val="none"/>
        </w:rPr>
        <w:t>管84级、85级校友经英励志奖学金评定办法</w:t>
      </w:r>
      <w:bookmarkEnd w:id="8"/>
      <w:bookmarkEnd w:id="9"/>
      <w:bookmarkEnd w:id="10"/>
    </w:p>
    <w:p w14:paraId="553C1544">
      <w:pPr>
        <w:ind w:firstLine="480"/>
        <w:rPr>
          <w:highlight w:val="none"/>
        </w:rPr>
      </w:pPr>
      <w:r>
        <w:rPr>
          <w:rFonts w:hint="eastAsia"/>
          <w:highlight w:val="none"/>
        </w:rPr>
        <w:t>西南交通大学经济管理学院管84级、</w:t>
      </w:r>
      <w:r>
        <w:rPr>
          <w:highlight w:val="none"/>
        </w:rPr>
        <w:t>85</w:t>
      </w:r>
      <w:r>
        <w:rPr>
          <w:rFonts w:hint="eastAsia"/>
          <w:highlight w:val="none"/>
        </w:rPr>
        <w:t>级校友经英励志奖学金由学院管</w:t>
      </w:r>
      <w:r>
        <w:rPr>
          <w:highlight w:val="none"/>
        </w:rPr>
        <w:t>84</w:t>
      </w:r>
      <w:r>
        <w:rPr>
          <w:rFonts w:hint="eastAsia"/>
          <w:highlight w:val="none"/>
        </w:rPr>
        <w:t>级、</w:t>
      </w:r>
      <w:r>
        <w:rPr>
          <w:highlight w:val="none"/>
        </w:rPr>
        <w:t>85</w:t>
      </w:r>
      <w:r>
        <w:rPr>
          <w:rFonts w:hint="eastAsia"/>
          <w:highlight w:val="none"/>
        </w:rPr>
        <w:t>级校友捐资设立，用于奖励品学兼优的在校学生，评定办法如下：</w:t>
      </w:r>
    </w:p>
    <w:p w14:paraId="4B4ABFF3">
      <w:pPr>
        <w:ind w:firstLine="0" w:firstLineChars="0"/>
        <w:rPr>
          <w:rFonts w:ascii="黑体" w:hAnsi="黑体" w:eastAsia="黑体"/>
          <w:b/>
          <w:szCs w:val="24"/>
          <w:highlight w:val="none"/>
        </w:rPr>
      </w:pPr>
      <w:r>
        <w:rPr>
          <w:rFonts w:hint="eastAsia" w:ascii="黑体" w:hAnsi="黑体" w:eastAsia="黑体" w:cs="Calibri"/>
          <w:b/>
          <w:szCs w:val="24"/>
          <w:highlight w:val="none"/>
          <w:shd w:val="clear" w:color="auto" w:fill="FFFFFF"/>
          <w:lang w:bidi="ar"/>
        </w:rPr>
        <w:t>一</w:t>
      </w:r>
      <w:r>
        <w:rPr>
          <w:rFonts w:hint="eastAsia" w:ascii="黑体" w:hAnsi="黑体" w:eastAsia="黑体"/>
          <w:b/>
          <w:szCs w:val="24"/>
          <w:highlight w:val="none"/>
          <w:shd w:val="clear" w:color="auto" w:fill="FFFFFF"/>
          <w:lang w:bidi="ar"/>
        </w:rPr>
        <w:t>、奖励对象：</w:t>
      </w:r>
    </w:p>
    <w:p w14:paraId="43C7844C">
      <w:pPr>
        <w:ind w:firstLine="480"/>
        <w:rPr>
          <w:rFonts w:ascii="宋体" w:hAnsi="宋体" w:cs="宋体"/>
          <w:sz w:val="18"/>
          <w:szCs w:val="18"/>
          <w:highlight w:val="none"/>
        </w:rPr>
      </w:pPr>
      <w:r>
        <w:rPr>
          <w:rFonts w:hint="eastAsia" w:eastAsia="PMingLiU"/>
          <w:highlight w:val="none"/>
          <w:shd w:val="clear" w:color="auto" w:fill="FFFFFF"/>
          <w:lang w:bidi="ar"/>
        </w:rPr>
        <w:t>经济管理学院在校</w:t>
      </w:r>
      <w:r>
        <w:rPr>
          <w:rFonts w:ascii="Calibri" w:hAnsi="Calibri" w:cs="Calibri"/>
          <w:highlight w:val="none"/>
          <w:shd w:val="clear" w:color="auto" w:fill="FFFFFF"/>
          <w:lang w:bidi="ar"/>
        </w:rPr>
        <w:t>2-4</w:t>
      </w:r>
      <w:r>
        <w:rPr>
          <w:rFonts w:hint="eastAsia" w:ascii="宋体" w:hAnsi="宋体" w:cs="宋体"/>
          <w:highlight w:val="none"/>
          <w:shd w:val="clear" w:color="auto" w:fill="FFFFFF"/>
          <w:lang w:bidi="ar"/>
        </w:rPr>
        <w:t>年级本科生。</w:t>
      </w:r>
    </w:p>
    <w:p w14:paraId="0266AFEB">
      <w:pPr>
        <w:ind w:firstLine="0" w:firstLineChars="0"/>
        <w:rPr>
          <w:rFonts w:ascii="黑体" w:hAnsi="黑体" w:eastAsia="黑体"/>
          <w:b/>
          <w:szCs w:val="24"/>
          <w:highlight w:val="none"/>
        </w:rPr>
      </w:pPr>
      <w:r>
        <w:rPr>
          <w:rFonts w:hint="eastAsia" w:ascii="黑体" w:hAnsi="黑体" w:eastAsia="黑体" w:cs="Calibri"/>
          <w:b/>
          <w:szCs w:val="24"/>
          <w:highlight w:val="none"/>
          <w:shd w:val="clear" w:color="auto" w:fill="FFFFFF"/>
          <w:lang w:bidi="ar"/>
        </w:rPr>
        <w:t>二</w:t>
      </w:r>
      <w:r>
        <w:rPr>
          <w:rFonts w:hint="eastAsia" w:ascii="黑体" w:hAnsi="黑体" w:eastAsia="黑体"/>
          <w:b/>
          <w:szCs w:val="24"/>
          <w:highlight w:val="none"/>
          <w:shd w:val="clear" w:color="auto" w:fill="FFFFFF"/>
          <w:lang w:bidi="ar"/>
        </w:rPr>
        <w:t>、奖励人数及金额：</w:t>
      </w:r>
    </w:p>
    <w:p w14:paraId="5DCF1F44">
      <w:pPr>
        <w:ind w:firstLine="480"/>
        <w:rPr>
          <w:rFonts w:ascii="宋体" w:hAnsi="宋体" w:cs="宋体"/>
          <w:sz w:val="18"/>
          <w:szCs w:val="18"/>
          <w:highlight w:val="none"/>
        </w:rPr>
      </w:pPr>
      <w:r>
        <w:rPr>
          <w:rFonts w:hint="eastAsia"/>
          <w:highlight w:val="none"/>
          <w:shd w:val="clear" w:color="auto" w:fill="FFFFFF"/>
          <w:lang w:bidi="ar"/>
        </w:rPr>
        <w:t>每学年奖励</w:t>
      </w:r>
      <w:r>
        <w:rPr>
          <w:rFonts w:ascii="Calibri" w:hAnsi="Calibri" w:cs="Calibri"/>
          <w:highlight w:val="none"/>
          <w:shd w:val="clear" w:color="auto" w:fill="FFFFFF"/>
          <w:lang w:bidi="ar"/>
        </w:rPr>
        <w:t>12</w:t>
      </w:r>
      <w:r>
        <w:rPr>
          <w:rFonts w:hint="eastAsia"/>
          <w:highlight w:val="none"/>
          <w:shd w:val="clear" w:color="auto" w:fill="FFFFFF"/>
          <w:lang w:bidi="ar"/>
        </w:rPr>
        <w:t>名本科生（大二、三、四年级各</w:t>
      </w:r>
      <w:r>
        <w:rPr>
          <w:rFonts w:ascii="Calibri" w:hAnsi="Calibri" w:cs="Calibri"/>
          <w:highlight w:val="none"/>
          <w:shd w:val="clear" w:color="auto" w:fill="FFFFFF"/>
          <w:lang w:bidi="ar"/>
        </w:rPr>
        <w:t>4</w:t>
      </w:r>
      <w:r>
        <w:rPr>
          <w:rFonts w:hint="eastAsia"/>
          <w:highlight w:val="none"/>
          <w:shd w:val="clear" w:color="auto" w:fill="FFFFFF"/>
          <w:lang w:bidi="ar"/>
        </w:rPr>
        <w:t>名），每人奖励人民币</w:t>
      </w:r>
      <w:r>
        <w:rPr>
          <w:rFonts w:ascii="Calibri" w:hAnsi="Calibri" w:cs="Calibri"/>
          <w:highlight w:val="none"/>
          <w:shd w:val="clear" w:color="auto" w:fill="FFFFFF"/>
          <w:lang w:bidi="ar"/>
        </w:rPr>
        <w:t>3000</w:t>
      </w:r>
      <w:r>
        <w:rPr>
          <w:rFonts w:hint="eastAsia" w:ascii="宋体" w:hAnsi="宋体" w:cs="宋体"/>
          <w:highlight w:val="none"/>
          <w:shd w:val="clear" w:color="auto" w:fill="FFFFFF"/>
          <w:lang w:bidi="ar"/>
        </w:rPr>
        <w:t>元。</w:t>
      </w:r>
    </w:p>
    <w:p w14:paraId="3C547EB1">
      <w:pPr>
        <w:ind w:firstLine="0" w:firstLineChars="0"/>
        <w:rPr>
          <w:rFonts w:ascii="黑体" w:hAnsi="黑体" w:eastAsia="黑体"/>
          <w:b/>
          <w:szCs w:val="24"/>
          <w:highlight w:val="none"/>
        </w:rPr>
      </w:pPr>
      <w:r>
        <w:rPr>
          <w:rFonts w:hint="eastAsia" w:ascii="黑体" w:hAnsi="黑体" w:eastAsia="黑体" w:cs="Calibri"/>
          <w:b/>
          <w:szCs w:val="24"/>
          <w:highlight w:val="none"/>
          <w:shd w:val="clear" w:color="auto" w:fill="FFFFFF"/>
          <w:lang w:bidi="ar"/>
        </w:rPr>
        <w:t>三</w:t>
      </w:r>
      <w:r>
        <w:rPr>
          <w:rFonts w:hint="eastAsia" w:ascii="黑体" w:hAnsi="黑体" w:eastAsia="黑体"/>
          <w:b/>
          <w:szCs w:val="24"/>
          <w:highlight w:val="none"/>
          <w:shd w:val="clear" w:color="auto" w:fill="FFFFFF"/>
          <w:lang w:bidi="ar"/>
        </w:rPr>
        <w:t>、评选条件：</w:t>
      </w:r>
    </w:p>
    <w:p w14:paraId="16B9804F">
      <w:pPr>
        <w:ind w:firstLine="480"/>
        <w:rPr>
          <w:sz w:val="18"/>
          <w:szCs w:val="18"/>
          <w:highlight w:val="none"/>
        </w:rPr>
      </w:pPr>
      <w:r>
        <w:rPr>
          <w:rFonts w:hint="eastAsia"/>
          <w:highlight w:val="none"/>
          <w:shd w:val="clear" w:color="auto" w:fill="FFFFFF"/>
          <w:lang w:bidi="ar"/>
        </w:rPr>
        <w:t>1．参评学年</w:t>
      </w:r>
      <w:r>
        <w:rPr>
          <w:rFonts w:hint="eastAsia"/>
          <w:highlight w:val="none"/>
          <w:shd w:val="clear" w:color="auto" w:fill="FFFFFF"/>
          <w:lang w:val="en-US" w:eastAsia="zh-CN" w:bidi="ar"/>
        </w:rPr>
        <w:t>综合素质评价成绩</w:t>
      </w:r>
      <w:r>
        <w:rPr>
          <w:rFonts w:hint="eastAsia"/>
          <w:highlight w:val="none"/>
          <w:shd w:val="clear" w:color="auto" w:fill="FFFFFF"/>
          <w:lang w:bidi="ar"/>
        </w:rPr>
        <w:t>年级专业排名位于前40%且</w:t>
      </w:r>
      <w:r>
        <w:rPr>
          <w:rFonts w:hint="eastAsia"/>
          <w:highlight w:val="none"/>
          <w:shd w:val="clear" w:color="auto" w:fill="FFFFFF"/>
          <w:lang w:val="en-US" w:eastAsia="zh-CN" w:bidi="ar"/>
        </w:rPr>
        <w:t>智育成绩</w:t>
      </w:r>
      <w:r>
        <w:rPr>
          <w:rFonts w:hint="eastAsia"/>
          <w:highlight w:val="none"/>
          <w:shd w:val="clear" w:color="auto" w:fill="FFFFFF"/>
          <w:lang w:bidi="ar"/>
        </w:rPr>
        <w:t>85分以上品学兼优的2</w:t>
      </w:r>
      <w:r>
        <w:rPr>
          <w:rFonts w:hint="eastAsia"/>
          <w:highlight w:val="none"/>
          <w:shd w:val="clear" w:color="auto" w:fill="FFFFFF"/>
          <w:lang w:val="en-US" w:eastAsia="zh-CN" w:bidi="ar"/>
        </w:rPr>
        <w:t>-</w:t>
      </w:r>
      <w:r>
        <w:rPr>
          <w:rFonts w:hint="eastAsia"/>
          <w:highlight w:val="none"/>
          <w:shd w:val="clear" w:color="auto" w:fill="FFFFFF"/>
          <w:lang w:bidi="ar"/>
        </w:rPr>
        <w:t>4年级学院本科生均具备申请资格</w:t>
      </w:r>
    </w:p>
    <w:p w14:paraId="7220E064">
      <w:pPr>
        <w:ind w:firstLine="480"/>
        <w:rPr>
          <w:rFonts w:hint="eastAsia"/>
          <w:highlight w:val="none"/>
          <w:shd w:val="clear" w:color="auto" w:fill="FFFFFF"/>
          <w:lang w:bidi="ar"/>
        </w:rPr>
      </w:pPr>
      <w:r>
        <w:rPr>
          <w:rFonts w:hint="eastAsia"/>
          <w:highlight w:val="none"/>
          <w:shd w:val="clear" w:color="auto" w:fill="FFFFFF"/>
          <w:lang w:bidi="ar"/>
        </w:rPr>
        <w:t>2．奖学金获得者德、智、体综合表现符合综合奖学金评定条件。</w:t>
      </w:r>
    </w:p>
    <w:p w14:paraId="70A0947B">
      <w:pPr>
        <w:ind w:firstLine="480"/>
        <w:rPr>
          <w:rFonts w:hint="eastAsia"/>
          <w:highlight w:val="none"/>
          <w:shd w:val="clear" w:color="auto" w:fill="FFFFFF"/>
          <w:lang w:bidi="ar"/>
        </w:rPr>
      </w:pPr>
      <w:r>
        <w:rPr>
          <w:rFonts w:hint="eastAsia"/>
          <w:highlight w:val="none"/>
          <w:shd w:val="clear" w:color="auto" w:fill="FFFFFF"/>
          <w:lang w:bidi="ar"/>
        </w:rPr>
        <w:t>3．评奖程序按西南交通大学专项奖学金评定程序执行。</w:t>
      </w:r>
    </w:p>
    <w:p w14:paraId="30AA09EA">
      <w:pPr>
        <w:ind w:firstLine="0" w:firstLineChars="0"/>
        <w:rPr>
          <w:rFonts w:ascii="黑体" w:hAnsi="黑体" w:eastAsia="黑体"/>
          <w:b/>
          <w:szCs w:val="24"/>
          <w:highlight w:val="none"/>
          <w:shd w:val="clear" w:color="auto" w:fill="FFFFFF"/>
          <w:lang w:bidi="ar"/>
        </w:rPr>
      </w:pPr>
      <w:r>
        <w:rPr>
          <w:rFonts w:hint="eastAsia" w:ascii="黑体" w:hAnsi="黑体" w:eastAsia="黑体"/>
          <w:b/>
          <w:szCs w:val="24"/>
          <w:highlight w:val="none"/>
          <w:shd w:val="clear" w:color="auto" w:fill="FFFFFF"/>
          <w:lang w:bidi="ar"/>
        </w:rPr>
        <w:t>四、评选办法</w:t>
      </w:r>
    </w:p>
    <w:p w14:paraId="6CCD9B94">
      <w:pPr>
        <w:ind w:firstLine="480"/>
        <w:rPr>
          <w:highlight w:val="none"/>
          <w:shd w:val="clear" w:color="auto" w:fill="FFFFFF"/>
          <w:lang w:bidi="ar"/>
        </w:rPr>
      </w:pPr>
      <w:r>
        <w:rPr>
          <w:rFonts w:hint="eastAsia"/>
          <w:highlight w:val="none"/>
          <w:shd w:val="clear" w:color="auto" w:fill="FFFFFF"/>
          <w:lang w:bidi="ar"/>
        </w:rPr>
        <w:t>申请及评奖程序按学校相关奖助学金评审管理办法执行。</w:t>
      </w:r>
    </w:p>
    <w:p w14:paraId="30F2840F">
      <w:pPr>
        <w:widowControl/>
        <w:shd w:val="clear" w:color="auto" w:fill="FFFFFF"/>
        <w:spacing w:line="335" w:lineRule="atLeast"/>
        <w:ind w:firstLine="480"/>
        <w:jc w:val="left"/>
        <w:rPr>
          <w:rFonts w:ascii="宋体" w:hAnsi="宋体" w:cs="宋体"/>
          <w:color w:val="000000"/>
          <w:kern w:val="0"/>
          <w:szCs w:val="24"/>
          <w:highlight w:val="none"/>
          <w:shd w:val="clear" w:color="auto" w:fill="FFFFFF"/>
          <w:lang w:bidi="ar"/>
        </w:rPr>
      </w:pPr>
    </w:p>
    <w:p w14:paraId="40C648F9">
      <w:pPr>
        <w:ind w:firstLine="480"/>
        <w:rPr>
          <w:highlight w:val="none"/>
        </w:rPr>
      </w:pPr>
    </w:p>
    <w:p w14:paraId="5FB935A4">
      <w:pPr>
        <w:ind w:firstLine="480"/>
        <w:rPr>
          <w:highlight w:val="none"/>
        </w:rPr>
      </w:pPr>
    </w:p>
    <w:p w14:paraId="33D55F0A">
      <w:pPr>
        <w:ind w:firstLine="480"/>
        <w:rPr>
          <w:highlight w:val="none"/>
        </w:rPr>
      </w:pPr>
    </w:p>
    <w:p w14:paraId="040E524A">
      <w:pPr>
        <w:ind w:firstLine="480"/>
        <w:rPr>
          <w:highlight w:val="none"/>
        </w:rPr>
      </w:pPr>
    </w:p>
    <w:p w14:paraId="4CE9FE0F">
      <w:pPr>
        <w:ind w:firstLine="480"/>
        <w:rPr>
          <w:highlight w:val="none"/>
        </w:rPr>
      </w:pPr>
    </w:p>
    <w:p w14:paraId="149947DF">
      <w:pPr>
        <w:ind w:firstLine="480"/>
        <w:rPr>
          <w:highlight w:val="none"/>
        </w:rPr>
      </w:pPr>
    </w:p>
    <w:p w14:paraId="7367531A">
      <w:pPr>
        <w:ind w:firstLine="480"/>
        <w:rPr>
          <w:highlight w:val="none"/>
        </w:rPr>
      </w:pPr>
    </w:p>
    <w:p w14:paraId="004EEB24">
      <w:pPr>
        <w:ind w:firstLine="480"/>
        <w:rPr>
          <w:highlight w:val="none"/>
        </w:rPr>
      </w:pPr>
    </w:p>
    <w:p w14:paraId="4BB591ED">
      <w:pPr>
        <w:ind w:firstLine="480"/>
        <w:rPr>
          <w:highlight w:val="none"/>
        </w:rPr>
      </w:pPr>
    </w:p>
    <w:p w14:paraId="36230B11">
      <w:pPr>
        <w:ind w:firstLine="480"/>
        <w:rPr>
          <w:highlight w:val="none"/>
        </w:rPr>
      </w:pPr>
    </w:p>
    <w:p w14:paraId="061E3F87">
      <w:pPr>
        <w:ind w:firstLine="480"/>
        <w:rPr>
          <w:highlight w:val="none"/>
        </w:rPr>
      </w:pPr>
    </w:p>
    <w:p w14:paraId="3F9E602A">
      <w:pPr>
        <w:pStyle w:val="2"/>
        <w:spacing w:after="156"/>
        <w:ind w:firstLine="625"/>
        <w:rPr>
          <w:w w:val="98"/>
        </w:rPr>
      </w:pPr>
      <w:bookmarkStart w:id="11" w:name="_Toc32495"/>
      <w:bookmarkStart w:id="12" w:name="_Toc12432"/>
      <w:bookmarkStart w:id="13" w:name="_Toc1818"/>
      <w:r>
        <w:rPr>
          <w:rFonts w:hint="eastAsia"/>
          <w:w w:val="98"/>
        </w:rPr>
        <w:t>管信2001级经英奖学金评定办法</w:t>
      </w:r>
      <w:bookmarkEnd w:id="11"/>
      <w:bookmarkEnd w:id="12"/>
      <w:bookmarkEnd w:id="13"/>
    </w:p>
    <w:p w14:paraId="62374DF0">
      <w:pPr>
        <w:ind w:firstLine="480"/>
        <w:rPr>
          <w:rFonts w:hint="eastAsia"/>
        </w:rPr>
      </w:pPr>
      <w:r>
        <w:rPr>
          <w:rFonts w:hint="eastAsia"/>
        </w:rPr>
        <w:t>西南交通大学经济管理学院管信2001级经英奖学金系学院2001级本科信息管理与信息系统专业校友于2015年6月集体捐赠设立，并于2025年6月进行二次捐赠，用于奖励经济管理学院信息管理与信息系统专业品学兼优的本科在校学生，提升学院本科人才培养质量，促进学生全面更好发展。</w:t>
      </w:r>
    </w:p>
    <w:p w14:paraId="435F24BC">
      <w:pPr>
        <w:ind w:firstLine="482"/>
        <w:rPr>
          <w:rFonts w:hint="eastAsia" w:ascii="黑体" w:hAnsi="黑体" w:eastAsia="黑体"/>
          <w:b/>
          <w:szCs w:val="24"/>
          <w:shd w:val="clear" w:color="auto" w:fill="FFFFFF"/>
          <w:lang w:bidi="ar"/>
        </w:rPr>
      </w:pPr>
      <w:r>
        <w:rPr>
          <w:rFonts w:hint="eastAsia" w:ascii="黑体" w:hAnsi="黑体" w:eastAsia="黑体"/>
          <w:b/>
          <w:szCs w:val="24"/>
          <w:shd w:val="clear" w:color="auto" w:fill="FFFFFF"/>
          <w:lang w:bidi="ar"/>
        </w:rPr>
        <w:t>一、奖励对象</w:t>
      </w:r>
    </w:p>
    <w:p w14:paraId="4FB1381E">
      <w:pPr>
        <w:ind w:firstLine="480"/>
        <w:rPr>
          <w:rFonts w:hint="eastAsia"/>
        </w:rPr>
      </w:pPr>
      <w:r>
        <w:rPr>
          <w:rFonts w:hint="eastAsia"/>
        </w:rPr>
        <w:t>西南交通大学经济管理学院信息管理与信息系统专业在校2-4年级本科生。</w:t>
      </w:r>
    </w:p>
    <w:p w14:paraId="1CC39524">
      <w:pPr>
        <w:ind w:firstLine="482"/>
        <w:rPr>
          <w:rFonts w:hint="eastAsia" w:ascii="黑体" w:hAnsi="黑体" w:eastAsia="黑体"/>
          <w:b/>
          <w:szCs w:val="24"/>
          <w:shd w:val="clear" w:color="auto" w:fill="FFFFFF"/>
          <w:lang w:bidi="ar"/>
        </w:rPr>
      </w:pPr>
      <w:r>
        <w:rPr>
          <w:rFonts w:hint="eastAsia" w:ascii="黑体" w:hAnsi="黑体" w:eastAsia="黑体"/>
          <w:b/>
          <w:szCs w:val="24"/>
          <w:shd w:val="clear" w:color="auto" w:fill="FFFFFF"/>
          <w:lang w:bidi="ar"/>
        </w:rPr>
        <w:t>二、奖励人数及金额</w:t>
      </w:r>
    </w:p>
    <w:p w14:paraId="23356DAF">
      <w:pPr>
        <w:ind w:firstLine="480"/>
        <w:rPr>
          <w:rFonts w:hint="eastAsia"/>
          <w:shd w:val="clear" w:color="auto" w:fill="FFFFFF"/>
          <w:lang w:bidi="ar"/>
        </w:rPr>
      </w:pPr>
      <w:r>
        <w:rPr>
          <w:rFonts w:hint="eastAsia"/>
          <w:shd w:val="clear" w:color="auto" w:fill="FFFFFF"/>
          <w:lang w:bidi="ar"/>
        </w:rPr>
        <w:t>每学年奖励3名本科生，每人奖励人民币5000元。</w:t>
      </w:r>
    </w:p>
    <w:p w14:paraId="051B25F7">
      <w:pPr>
        <w:ind w:firstLine="482"/>
        <w:rPr>
          <w:rFonts w:hint="eastAsia" w:ascii="黑体" w:hAnsi="黑体" w:eastAsia="黑体"/>
          <w:b/>
          <w:szCs w:val="24"/>
          <w:shd w:val="clear" w:color="auto" w:fill="FFFFFF"/>
          <w:lang w:bidi="ar"/>
        </w:rPr>
      </w:pPr>
      <w:r>
        <w:rPr>
          <w:rFonts w:hint="eastAsia" w:ascii="黑体" w:hAnsi="黑体" w:eastAsia="黑体"/>
          <w:b/>
          <w:szCs w:val="24"/>
          <w:shd w:val="clear" w:color="auto" w:fill="FFFFFF"/>
          <w:lang w:bidi="ar"/>
        </w:rPr>
        <w:t>三、评选条件</w:t>
      </w:r>
    </w:p>
    <w:p w14:paraId="7C00D726">
      <w:pPr>
        <w:ind w:firstLine="480"/>
        <w:rPr>
          <w:shd w:val="clear" w:color="auto" w:fill="FFFFFF"/>
          <w:lang w:bidi="ar"/>
        </w:rPr>
      </w:pPr>
      <w:r>
        <w:rPr>
          <w:rFonts w:hint="eastAsia"/>
          <w:shd w:val="clear" w:color="auto" w:fill="FFFFFF"/>
          <w:lang w:bidi="ar"/>
        </w:rPr>
        <w:t>1．参评学年综合素质评价成绩年级专业排名位于前30%且智育成绩85分以上，无补考科目。</w:t>
      </w:r>
    </w:p>
    <w:p w14:paraId="56BBF995">
      <w:pPr>
        <w:ind w:firstLine="480"/>
        <w:rPr>
          <w:shd w:val="clear" w:color="auto" w:fill="FFFFFF"/>
          <w:lang w:bidi="ar"/>
        </w:rPr>
      </w:pPr>
      <w:r>
        <w:rPr>
          <w:rFonts w:hint="eastAsia"/>
          <w:shd w:val="clear" w:color="auto" w:fill="FFFFFF"/>
          <w:lang w:bidi="ar"/>
        </w:rPr>
        <w:t>2．申请人的德、智、体综合表现符合西南交通大学综合奖学金评选条件。</w:t>
      </w:r>
    </w:p>
    <w:p w14:paraId="74A62A82">
      <w:pPr>
        <w:ind w:firstLine="480"/>
        <w:rPr>
          <w:shd w:val="clear" w:color="auto" w:fill="FFFFFF"/>
          <w:lang w:bidi="ar"/>
        </w:rPr>
      </w:pPr>
      <w:r>
        <w:rPr>
          <w:rFonts w:hint="eastAsia"/>
          <w:shd w:val="clear" w:color="auto" w:fill="FFFFFF"/>
          <w:lang w:bidi="ar"/>
        </w:rPr>
        <w:t>3．申请人上一学年参与科创竞赛获奖或积极参与社会实践者优先考虑。</w:t>
      </w:r>
    </w:p>
    <w:p w14:paraId="597C1ACF">
      <w:pPr>
        <w:ind w:firstLine="480"/>
        <w:rPr>
          <w:shd w:val="clear" w:color="auto" w:fill="FFFFFF"/>
          <w:lang w:bidi="ar"/>
        </w:rPr>
      </w:pPr>
      <w:r>
        <w:rPr>
          <w:rFonts w:hint="eastAsia"/>
          <w:shd w:val="clear" w:color="auto" w:fill="FFFFFF"/>
          <w:lang w:bidi="ar"/>
        </w:rPr>
        <w:t>4．评奖程序按西南交通大学专项奖学金评定程序执行。</w:t>
      </w:r>
    </w:p>
    <w:p w14:paraId="007DEF50">
      <w:pPr>
        <w:ind w:firstLine="482"/>
        <w:rPr>
          <w:rFonts w:hint="eastAsia" w:ascii="黑体" w:hAnsi="黑体" w:eastAsia="黑体"/>
          <w:b/>
          <w:szCs w:val="24"/>
          <w:shd w:val="clear" w:color="auto" w:fill="FFFFFF"/>
          <w:lang w:bidi="ar"/>
        </w:rPr>
      </w:pPr>
      <w:r>
        <w:rPr>
          <w:rFonts w:hint="eastAsia" w:ascii="黑体" w:hAnsi="黑体" w:eastAsia="黑体"/>
          <w:b/>
          <w:szCs w:val="24"/>
          <w:shd w:val="clear" w:color="auto" w:fill="FFFFFF"/>
          <w:lang w:bidi="ar"/>
        </w:rPr>
        <w:t>四、评选办法</w:t>
      </w:r>
    </w:p>
    <w:p w14:paraId="25A7C1C2">
      <w:pPr>
        <w:ind w:firstLine="480"/>
        <w:rPr>
          <w:shd w:val="clear" w:color="auto" w:fill="FFFFFF"/>
          <w:lang w:bidi="ar"/>
        </w:rPr>
      </w:pPr>
      <w:r>
        <w:rPr>
          <w:rFonts w:hint="eastAsia"/>
          <w:shd w:val="clear" w:color="auto" w:fill="FFFFFF"/>
          <w:lang w:bidi="ar"/>
        </w:rPr>
        <w:t>1．申请及评奖程序按学校相关奖助学金评审管理办法执行。</w:t>
      </w:r>
    </w:p>
    <w:p w14:paraId="12F54FBA">
      <w:pPr>
        <w:ind w:firstLine="480"/>
        <w:rPr>
          <w:shd w:val="clear" w:color="auto" w:fill="FFFFFF"/>
          <w:lang w:bidi="ar"/>
        </w:rPr>
      </w:pPr>
      <w:r>
        <w:rPr>
          <w:rFonts w:hint="eastAsia"/>
          <w:shd w:val="clear" w:color="auto" w:fill="FFFFFF"/>
          <w:lang w:bidi="ar"/>
        </w:rPr>
        <w:t>2．本专项奖学金评审时，评审委员会中应有信息管理与信息系统专业的专职任课教师代表，或邀请2001级管信专业校友参与评审。</w:t>
      </w:r>
    </w:p>
    <w:p w14:paraId="1D67FA14">
      <w:pPr>
        <w:ind w:firstLine="482"/>
        <w:rPr>
          <w:rFonts w:hint="eastAsia" w:ascii="黑体" w:hAnsi="黑体" w:eastAsia="黑体"/>
          <w:b/>
          <w:szCs w:val="24"/>
          <w:shd w:val="clear" w:color="auto" w:fill="FFFFFF"/>
          <w:lang w:bidi="ar"/>
        </w:rPr>
      </w:pPr>
      <w:r>
        <w:rPr>
          <w:rFonts w:hint="eastAsia" w:ascii="黑体" w:hAnsi="黑体" w:eastAsia="黑体"/>
          <w:b/>
          <w:szCs w:val="24"/>
          <w:shd w:val="clear" w:color="auto" w:fill="FFFFFF"/>
          <w:lang w:bidi="ar"/>
        </w:rPr>
        <w:t>五、评审程序</w:t>
      </w:r>
    </w:p>
    <w:p w14:paraId="7A4C4975">
      <w:pPr>
        <w:ind w:firstLine="480"/>
        <w:rPr>
          <w:shd w:val="clear" w:color="auto" w:fill="FFFFFF"/>
          <w:lang w:bidi="ar"/>
        </w:rPr>
      </w:pPr>
      <w:r>
        <w:rPr>
          <w:rFonts w:hint="eastAsia"/>
          <w:shd w:val="clear" w:color="auto" w:fill="FFFFFF"/>
          <w:lang w:bidi="ar"/>
        </w:rPr>
        <w:t>1．评审程序按西南交通大学专项奖学金评定程序执行；</w:t>
      </w:r>
    </w:p>
    <w:p w14:paraId="158F2B54">
      <w:pPr>
        <w:ind w:firstLine="480"/>
        <w:rPr>
          <w:shd w:val="clear" w:color="auto" w:fill="FFFFFF"/>
          <w:lang w:bidi="ar"/>
        </w:rPr>
      </w:pPr>
      <w:r>
        <w:rPr>
          <w:rFonts w:hint="eastAsia"/>
          <w:shd w:val="clear" w:color="auto" w:fill="FFFFFF"/>
          <w:lang w:bidi="ar"/>
        </w:rPr>
        <w:t>2．学生提出书面申请并上报至学院；</w:t>
      </w:r>
    </w:p>
    <w:p w14:paraId="74DD80D6">
      <w:pPr>
        <w:ind w:firstLine="480"/>
        <w:rPr>
          <w:shd w:val="clear" w:color="auto" w:fill="FFFFFF"/>
          <w:lang w:bidi="ar"/>
        </w:rPr>
      </w:pPr>
      <w:r>
        <w:rPr>
          <w:rFonts w:hint="eastAsia"/>
          <w:shd w:val="clear" w:color="auto" w:fill="FFFFFF"/>
          <w:lang w:bidi="ar"/>
        </w:rPr>
        <w:t>3．学院评选确定推荐人员名单，并在学院公示；</w:t>
      </w:r>
    </w:p>
    <w:p w14:paraId="5DEF6E5D">
      <w:pPr>
        <w:ind w:firstLine="480"/>
        <w:rPr>
          <w:shd w:val="clear" w:color="auto" w:fill="FFFFFF"/>
          <w:lang w:bidi="ar"/>
        </w:rPr>
      </w:pPr>
      <w:r>
        <w:rPr>
          <w:rFonts w:hint="eastAsia"/>
          <w:shd w:val="clear" w:color="auto" w:fill="FFFFFF"/>
          <w:lang w:bidi="ar"/>
        </w:rPr>
        <w:t>4．学院公示无异议后，组织学生填写《西南交通大学管信2001级经英奖学金申请表》，学院将推荐材料分别报送党委学生工作组；</w:t>
      </w:r>
    </w:p>
    <w:p w14:paraId="667BDA2E">
      <w:pPr>
        <w:ind w:firstLine="480"/>
        <w:rPr>
          <w:shd w:val="clear" w:color="auto" w:fill="FFFFFF"/>
          <w:lang w:bidi="ar"/>
        </w:rPr>
      </w:pPr>
      <w:r>
        <w:rPr>
          <w:rFonts w:hint="eastAsia"/>
          <w:shd w:val="clear" w:color="auto" w:fill="FFFFFF"/>
          <w:lang w:bidi="ar"/>
        </w:rPr>
        <w:t>5．党委学生工作组将学生材料汇总、评选后确定最终获奖名单。</w:t>
      </w:r>
    </w:p>
    <w:p w14:paraId="26BBFA0E">
      <w:pPr>
        <w:ind w:firstLine="480"/>
        <w:rPr>
          <w:highlight w:val="none"/>
        </w:rPr>
      </w:pPr>
      <w:r>
        <w:rPr>
          <w:rFonts w:hint="eastAsia"/>
          <w:shd w:val="clear" w:color="auto" w:fill="FFFFFF"/>
          <w:lang w:bidi="ar"/>
        </w:rPr>
        <w:t>六、对评选如有异议，可在公示期内，实名向学院专项奖学金评审委员会提出书面申诉，学院专项奖学金评审委员会组织审核，并将异议处理意见反馈至申诉人。</w:t>
      </w:r>
    </w:p>
    <w:p w14:paraId="04C1A6C8">
      <w:pPr>
        <w:pStyle w:val="2"/>
        <w:spacing w:after="156"/>
        <w:ind w:firstLine="560"/>
        <w:rPr>
          <w:rFonts w:hint="eastAsia"/>
          <w:w w:val="98"/>
          <w:highlight w:val="none"/>
        </w:rPr>
      </w:pPr>
      <w:bookmarkStart w:id="14" w:name="_Toc891"/>
      <w:bookmarkStart w:id="15" w:name="_Toc20579"/>
      <w:bookmarkStart w:id="16" w:name="_Toc3457"/>
      <w:r>
        <w:rPr>
          <w:rFonts w:hint="eastAsia"/>
          <w:w w:val="98"/>
          <w:highlight w:val="none"/>
        </w:rPr>
        <w:t>“周成勇”奖学金评定办法</w:t>
      </w:r>
      <w:bookmarkEnd w:id="14"/>
      <w:bookmarkEnd w:id="15"/>
      <w:bookmarkEnd w:id="16"/>
    </w:p>
    <w:p w14:paraId="0D976B22">
      <w:pPr>
        <w:ind w:firstLine="0" w:firstLineChars="0"/>
        <w:rPr>
          <w:rFonts w:ascii="黑体" w:hAnsi="黑体" w:eastAsia="黑体"/>
          <w:b/>
          <w:szCs w:val="24"/>
          <w:highlight w:val="none"/>
          <w:shd w:val="clear" w:color="auto" w:fill="FFFFFF"/>
          <w:lang w:bidi="ar"/>
        </w:rPr>
      </w:pPr>
      <w:r>
        <w:rPr>
          <w:rFonts w:hint="eastAsia" w:ascii="黑体" w:hAnsi="黑体" w:eastAsia="黑体"/>
          <w:b/>
          <w:szCs w:val="24"/>
          <w:highlight w:val="none"/>
          <w:shd w:val="clear" w:color="auto" w:fill="FFFFFF"/>
          <w:lang w:bidi="ar"/>
        </w:rPr>
        <w:t>一、奖励对象</w:t>
      </w:r>
    </w:p>
    <w:p w14:paraId="574B378F">
      <w:pPr>
        <w:widowControl/>
        <w:shd w:val="clear" w:color="auto" w:fill="FFFFFF"/>
        <w:adjustRightInd w:val="0"/>
        <w:snapToGrid w:val="0"/>
        <w:ind w:firstLine="480"/>
        <w:jc w:val="left"/>
        <w:rPr>
          <w:highlight w:val="none"/>
        </w:rPr>
      </w:pPr>
      <w:r>
        <w:rPr>
          <w:rFonts w:hint="eastAsia"/>
          <w:highlight w:val="none"/>
        </w:rPr>
        <w:t>西南交通大学经济管理学院在校</w:t>
      </w:r>
      <w:r>
        <w:rPr>
          <w:highlight w:val="none"/>
        </w:rPr>
        <w:t>2</w:t>
      </w:r>
      <w:r>
        <w:rPr>
          <w:rFonts w:hint="eastAsia"/>
          <w:highlight w:val="none"/>
        </w:rPr>
        <w:t>－</w:t>
      </w:r>
      <w:r>
        <w:rPr>
          <w:highlight w:val="none"/>
        </w:rPr>
        <w:t>4年级本科生</w:t>
      </w:r>
      <w:r>
        <w:rPr>
          <w:rFonts w:hint="eastAsia"/>
          <w:highlight w:val="none"/>
        </w:rPr>
        <w:t>、研究生。</w:t>
      </w:r>
    </w:p>
    <w:p w14:paraId="20F7CFB4">
      <w:pPr>
        <w:ind w:firstLine="0" w:firstLineChars="0"/>
        <w:rPr>
          <w:rFonts w:ascii="黑体" w:hAnsi="黑体" w:eastAsia="黑体"/>
          <w:b/>
          <w:szCs w:val="24"/>
          <w:highlight w:val="none"/>
          <w:shd w:val="clear" w:color="auto" w:fill="FFFFFF"/>
          <w:lang w:bidi="ar"/>
        </w:rPr>
      </w:pPr>
      <w:r>
        <w:rPr>
          <w:rFonts w:hint="eastAsia" w:ascii="黑体" w:hAnsi="黑体" w:eastAsia="黑体"/>
          <w:b/>
          <w:szCs w:val="24"/>
          <w:highlight w:val="none"/>
          <w:shd w:val="clear" w:color="auto" w:fill="FFFFFF"/>
          <w:lang w:bidi="ar"/>
        </w:rPr>
        <w:t>二、奖励人数及金额</w:t>
      </w:r>
    </w:p>
    <w:p w14:paraId="45074E60">
      <w:pPr>
        <w:widowControl/>
        <w:shd w:val="clear" w:color="auto" w:fill="FFFFFF"/>
        <w:adjustRightInd w:val="0"/>
        <w:snapToGrid w:val="0"/>
        <w:ind w:firstLine="480"/>
        <w:jc w:val="left"/>
        <w:rPr>
          <w:highlight w:val="none"/>
        </w:rPr>
      </w:pPr>
      <w:r>
        <w:rPr>
          <w:rFonts w:hint="eastAsia"/>
          <w:highlight w:val="none"/>
        </w:rPr>
        <w:t>每学年奖励6名本科生，3名硕士研究生，1名博士研究生，每人奖励人民币5000元。</w:t>
      </w:r>
    </w:p>
    <w:p w14:paraId="63649B30">
      <w:pPr>
        <w:ind w:firstLine="0" w:firstLineChars="0"/>
        <w:rPr>
          <w:rFonts w:ascii="黑体" w:hAnsi="黑体" w:eastAsia="黑体"/>
          <w:b/>
          <w:szCs w:val="24"/>
          <w:highlight w:val="none"/>
          <w:shd w:val="clear" w:color="auto" w:fill="FFFFFF"/>
          <w:lang w:bidi="ar"/>
        </w:rPr>
      </w:pPr>
      <w:r>
        <w:rPr>
          <w:rFonts w:hint="eastAsia" w:ascii="黑体" w:hAnsi="黑体" w:eastAsia="黑体"/>
          <w:b/>
          <w:szCs w:val="24"/>
          <w:highlight w:val="none"/>
          <w:shd w:val="clear" w:color="auto" w:fill="FFFFFF"/>
          <w:lang w:bidi="ar"/>
        </w:rPr>
        <w:t>三、申请条件</w:t>
      </w:r>
    </w:p>
    <w:p w14:paraId="65BD2630">
      <w:pPr>
        <w:ind w:firstLine="480"/>
        <w:rPr>
          <w:sz w:val="18"/>
          <w:szCs w:val="18"/>
          <w:highlight w:val="none"/>
        </w:rPr>
      </w:pPr>
      <w:r>
        <w:rPr>
          <w:rFonts w:hint="eastAsia"/>
          <w:highlight w:val="none"/>
        </w:rPr>
        <w:t>1．</w:t>
      </w:r>
      <w:r>
        <w:rPr>
          <w:rFonts w:hint="eastAsia"/>
          <w:highlight w:val="none"/>
          <w:shd w:val="clear" w:color="auto" w:fill="FFFFFF"/>
          <w:lang w:bidi="ar"/>
        </w:rPr>
        <w:t>参评学年</w:t>
      </w:r>
      <w:r>
        <w:rPr>
          <w:rFonts w:hint="eastAsia"/>
          <w:highlight w:val="none"/>
          <w:shd w:val="clear" w:color="auto" w:fill="FFFFFF"/>
          <w:lang w:val="en-US" w:eastAsia="zh-CN" w:bidi="ar"/>
        </w:rPr>
        <w:t>综合素质评价成绩</w:t>
      </w:r>
      <w:r>
        <w:rPr>
          <w:rFonts w:hint="eastAsia"/>
          <w:highlight w:val="none"/>
          <w:shd w:val="clear" w:color="auto" w:fill="FFFFFF"/>
          <w:lang w:bidi="ar"/>
        </w:rPr>
        <w:t>年级专业排名位于前40%且</w:t>
      </w:r>
      <w:r>
        <w:rPr>
          <w:rFonts w:hint="eastAsia"/>
          <w:highlight w:val="none"/>
          <w:shd w:val="clear" w:color="auto" w:fill="FFFFFF"/>
          <w:lang w:val="en-US" w:eastAsia="zh-CN" w:bidi="ar"/>
        </w:rPr>
        <w:t>智育成绩</w:t>
      </w:r>
      <w:r>
        <w:rPr>
          <w:rFonts w:hint="eastAsia"/>
          <w:highlight w:val="none"/>
          <w:shd w:val="clear" w:color="auto" w:fill="FFFFFF"/>
          <w:lang w:bidi="ar"/>
        </w:rPr>
        <w:t>85分以上，无补考科目。</w:t>
      </w:r>
    </w:p>
    <w:p w14:paraId="218703AF">
      <w:pPr>
        <w:widowControl/>
        <w:shd w:val="clear" w:color="auto" w:fill="FFFFFF"/>
        <w:adjustRightInd w:val="0"/>
        <w:snapToGrid w:val="0"/>
        <w:ind w:firstLine="480"/>
        <w:jc w:val="left"/>
        <w:rPr>
          <w:highlight w:val="none"/>
        </w:rPr>
      </w:pPr>
      <w:r>
        <w:rPr>
          <w:rFonts w:hint="eastAsia"/>
          <w:highlight w:val="none"/>
        </w:rPr>
        <w:t>2．申请人的德、智、体综合表现符合西南交通大学综合奖学金评选条件。</w:t>
      </w:r>
    </w:p>
    <w:p w14:paraId="3B898417">
      <w:pPr>
        <w:widowControl/>
        <w:shd w:val="clear" w:color="auto" w:fill="FFFFFF"/>
        <w:adjustRightInd w:val="0"/>
        <w:snapToGrid w:val="0"/>
        <w:ind w:firstLine="480"/>
        <w:jc w:val="left"/>
        <w:rPr>
          <w:highlight w:val="none"/>
        </w:rPr>
      </w:pPr>
      <w:r>
        <w:rPr>
          <w:rFonts w:hint="eastAsia"/>
          <w:highlight w:val="none"/>
        </w:rPr>
        <w:t>3．申请人家庭贫困者优先考虑。</w:t>
      </w:r>
    </w:p>
    <w:p w14:paraId="660E8F06">
      <w:pPr>
        <w:widowControl/>
        <w:shd w:val="clear" w:color="auto" w:fill="FFFFFF"/>
        <w:adjustRightInd w:val="0"/>
        <w:snapToGrid w:val="0"/>
        <w:ind w:firstLine="480"/>
        <w:jc w:val="left"/>
        <w:rPr>
          <w:highlight w:val="none"/>
        </w:rPr>
      </w:pPr>
      <w:r>
        <w:rPr>
          <w:rFonts w:hint="eastAsia"/>
          <w:highlight w:val="none"/>
        </w:rPr>
        <w:t>4．申请人上一学年参与科创竞赛获奖或积极参与社会实践者优先考虑。</w:t>
      </w:r>
    </w:p>
    <w:p w14:paraId="1E59C756">
      <w:pPr>
        <w:ind w:firstLine="0" w:firstLineChars="0"/>
        <w:rPr>
          <w:rFonts w:ascii="黑体" w:hAnsi="黑体" w:eastAsia="黑体"/>
          <w:b/>
          <w:szCs w:val="24"/>
          <w:highlight w:val="none"/>
          <w:shd w:val="clear" w:color="auto" w:fill="FFFFFF"/>
          <w:lang w:bidi="ar"/>
        </w:rPr>
      </w:pPr>
      <w:r>
        <w:rPr>
          <w:rFonts w:hint="eastAsia" w:ascii="黑体" w:hAnsi="黑体" w:eastAsia="黑体"/>
          <w:b/>
          <w:szCs w:val="24"/>
          <w:highlight w:val="none"/>
          <w:shd w:val="clear" w:color="auto" w:fill="FFFFFF"/>
          <w:lang w:bidi="ar"/>
        </w:rPr>
        <w:t>四、评奖办法</w:t>
      </w:r>
    </w:p>
    <w:p w14:paraId="2D8F136D">
      <w:pPr>
        <w:widowControl/>
        <w:shd w:val="clear" w:color="auto" w:fill="FFFFFF"/>
        <w:adjustRightInd w:val="0"/>
        <w:snapToGrid w:val="0"/>
        <w:ind w:firstLine="480"/>
        <w:jc w:val="left"/>
        <w:rPr>
          <w:highlight w:val="none"/>
        </w:rPr>
      </w:pPr>
      <w:r>
        <w:rPr>
          <w:rFonts w:hint="eastAsia"/>
          <w:highlight w:val="none"/>
        </w:rPr>
        <w:t>1.申请及评奖程序按学校相关奖助学金评审管理办法执行。</w:t>
      </w:r>
    </w:p>
    <w:p w14:paraId="63CC7183">
      <w:pPr>
        <w:widowControl/>
        <w:shd w:val="clear" w:color="auto" w:fill="FFFFFF"/>
        <w:adjustRightInd w:val="0"/>
        <w:snapToGrid w:val="0"/>
        <w:ind w:firstLine="480"/>
        <w:jc w:val="left"/>
        <w:rPr>
          <w:highlight w:val="none"/>
        </w:rPr>
      </w:pPr>
      <w:r>
        <w:rPr>
          <w:rFonts w:hint="eastAsia"/>
          <w:highlight w:val="none"/>
        </w:rPr>
        <w:t>2.本专项奖学金评审时，评审委员会应邀请1984级本科周成勇参与评审。</w:t>
      </w:r>
    </w:p>
    <w:p w14:paraId="320B6EB3">
      <w:pPr>
        <w:ind w:firstLine="0" w:firstLineChars="0"/>
        <w:rPr>
          <w:rFonts w:hint="eastAsia" w:ascii="黑体" w:hAnsi="黑体" w:eastAsia="黑体"/>
          <w:b/>
          <w:szCs w:val="24"/>
          <w:highlight w:val="none"/>
          <w:shd w:val="clear" w:color="auto" w:fill="FFFFFF"/>
          <w:lang w:bidi="ar"/>
        </w:rPr>
      </w:pPr>
      <w:r>
        <w:rPr>
          <w:rFonts w:hint="eastAsia" w:ascii="黑体" w:hAnsi="黑体" w:eastAsia="黑体"/>
          <w:b/>
          <w:szCs w:val="24"/>
          <w:highlight w:val="none"/>
          <w:shd w:val="clear" w:color="auto" w:fill="FFFFFF"/>
          <w:lang w:bidi="ar"/>
        </w:rPr>
        <w:t>五、其他</w:t>
      </w:r>
    </w:p>
    <w:p w14:paraId="486C5436">
      <w:pPr>
        <w:widowControl/>
        <w:shd w:val="clear" w:color="auto" w:fill="FFFFFF"/>
        <w:adjustRightInd w:val="0"/>
        <w:snapToGrid w:val="0"/>
        <w:ind w:firstLine="480"/>
        <w:jc w:val="left"/>
        <w:rPr>
          <w:highlight w:val="none"/>
        </w:rPr>
      </w:pPr>
      <w:r>
        <w:rPr>
          <w:rFonts w:hint="eastAsia"/>
          <w:highlight w:val="none"/>
        </w:rPr>
        <w:t>1．为促进学院本科学生更好发展，每位学生在校期间原则上只能获得1次该专项奖学金。</w:t>
      </w:r>
    </w:p>
    <w:p w14:paraId="721ED900">
      <w:pPr>
        <w:widowControl/>
        <w:shd w:val="clear" w:color="auto" w:fill="FFFFFF"/>
        <w:adjustRightInd w:val="0"/>
        <w:snapToGrid w:val="0"/>
        <w:ind w:firstLine="480"/>
        <w:jc w:val="left"/>
        <w:rPr>
          <w:highlight w:val="none"/>
        </w:rPr>
      </w:pPr>
      <w:r>
        <w:rPr>
          <w:rFonts w:hint="eastAsia"/>
          <w:highlight w:val="none"/>
        </w:rPr>
        <w:t>2．本办法由西南交通大学经济管理学院“周成勇”奖学金委员会负责解释。</w:t>
      </w:r>
    </w:p>
    <w:p w14:paraId="222DBCFE">
      <w:pPr>
        <w:pStyle w:val="2"/>
        <w:spacing w:after="156"/>
        <w:ind w:firstLine="640"/>
        <w:rPr>
          <w:rFonts w:hint="eastAsia"/>
        </w:rPr>
      </w:pPr>
      <w:r>
        <w:rPr>
          <w:highlight w:val="none"/>
        </w:rPr>
        <w:br w:type="page"/>
      </w:r>
      <w:bookmarkStart w:id="17" w:name="_Toc179538734"/>
      <w:bookmarkStart w:id="18" w:name="_Toc31253"/>
      <w:r>
        <w:rPr>
          <w:rFonts w:hint="eastAsia"/>
        </w:rPr>
        <w:t>经济管理学院“耀煌奖学金”实施细则</w:t>
      </w:r>
      <w:bookmarkEnd w:id="17"/>
      <w:bookmarkEnd w:id="18"/>
    </w:p>
    <w:p w14:paraId="76705707">
      <w:pPr>
        <w:widowControl/>
        <w:spacing w:line="560" w:lineRule="exact"/>
        <w:ind w:firstLine="480"/>
        <w:rPr>
          <w:rFonts w:ascii="宋体" w:hAnsi="宋体" w:cs="宋体"/>
          <w:szCs w:val="24"/>
          <w14:ligatures w14:val="standardContextual"/>
        </w:rPr>
      </w:pPr>
      <w:bookmarkStart w:id="19" w:name="_Hlk176335299"/>
      <w:r>
        <w:rPr>
          <w:rFonts w:hint="eastAsia" w:ascii="宋体" w:hAnsi="宋体" w:cs="宋体"/>
          <w:szCs w:val="24"/>
          <w14:ligatures w14:val="standardContextual"/>
        </w:rPr>
        <w:t>第一条</w:t>
      </w:r>
      <w:r>
        <w:rPr>
          <w:rFonts w:ascii="宋体" w:hAnsi="宋体" w:cs="宋体"/>
          <w:szCs w:val="24"/>
          <w14:ligatures w14:val="standardContextual"/>
        </w:rPr>
        <w:t xml:space="preserve"> </w:t>
      </w:r>
      <w:r>
        <w:rPr>
          <w:rFonts w:hint="eastAsia" w:ascii="宋体" w:hAnsi="宋体" w:cs="宋体"/>
          <w:szCs w:val="24"/>
          <w14:ligatures w14:val="standardContextual"/>
        </w:rPr>
        <w:t>四川鑫投交通科技集团为支持经济管理学院教育事业发展，激励在校学生勤奋学习、刻苦钻研，培养优秀、敬业的高素质人才，特捐款</w:t>
      </w:r>
      <w:r>
        <w:rPr>
          <w:rFonts w:ascii="宋体" w:hAnsi="宋体" w:cs="宋体"/>
          <w:szCs w:val="24"/>
          <w14:ligatures w14:val="standardContextual"/>
        </w:rPr>
        <w:t>100</w:t>
      </w:r>
      <w:r>
        <w:rPr>
          <w:rFonts w:hint="eastAsia" w:ascii="宋体" w:hAnsi="宋体" w:cs="宋体"/>
          <w:szCs w:val="24"/>
          <w14:ligatures w14:val="standardContextual"/>
        </w:rPr>
        <w:t>万元至西南交通大学经济管理学院设立“耀煌奖学金”。</w:t>
      </w:r>
    </w:p>
    <w:p w14:paraId="7BE9C851">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第二条 奖励对象：西南交通大学经济管理学院全日制在读的本科生和研究生。</w:t>
      </w:r>
    </w:p>
    <w:p w14:paraId="76975786">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 xml:space="preserve">第三条 </w:t>
      </w:r>
      <w:r>
        <w:rPr>
          <w:rFonts w:ascii="宋体" w:hAnsi="宋体" w:cs="宋体"/>
          <w:szCs w:val="24"/>
          <w14:ligatures w14:val="standardContextual"/>
        </w:rPr>
        <w:t xml:space="preserve"> </w:t>
      </w:r>
      <w:r>
        <w:rPr>
          <w:rFonts w:hint="eastAsia" w:ascii="宋体" w:hAnsi="宋体" w:cs="宋体"/>
          <w:szCs w:val="24"/>
          <w14:ligatures w14:val="standardContextual"/>
        </w:rPr>
        <w:t>奖励人数及金额：</w:t>
      </w:r>
    </w:p>
    <w:p w14:paraId="3030666A">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1.“耀煌奖学金”：全院每年评选本科生和研究生各5名，每名获奖学生每年奖励人民币5000元。</w:t>
      </w:r>
    </w:p>
    <w:p w14:paraId="496E5E2D">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2.“耀煌助学金”：全院每年评选本科生和研究生各5名，每名获奖学生每年奖励人民币3000元。</w:t>
      </w:r>
    </w:p>
    <w:p w14:paraId="7F14071F">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3.“耀煌优秀学生干部奖学金”：全院每年评选本科生和研究生各5名，每名获奖学生每年奖励人民币2000元。</w:t>
      </w:r>
    </w:p>
    <w:p w14:paraId="44549EDC">
      <w:pPr>
        <w:widowControl/>
        <w:spacing w:line="560" w:lineRule="exact"/>
        <w:ind w:firstLine="480"/>
        <w:rPr>
          <w:rFonts w:ascii="宋体" w:hAnsi="宋体" w:cs="宋体"/>
          <w:szCs w:val="24"/>
          <w14:ligatures w14:val="standardContextual"/>
        </w:rPr>
      </w:pPr>
      <w:bookmarkStart w:id="20" w:name="_Hlk176335455"/>
      <w:r>
        <w:rPr>
          <w:rFonts w:hint="eastAsia" w:ascii="宋体" w:hAnsi="宋体" w:cs="宋体"/>
          <w:szCs w:val="24"/>
          <w14:ligatures w14:val="standardContextual"/>
        </w:rPr>
        <w:t>第四条 评审条件：申请“耀煌奖学金”、“耀煌助学金”、“耀煌优秀学生干部奖学金”的学生应符合以下条件：</w:t>
      </w:r>
    </w:p>
    <w:p w14:paraId="3A90EF63">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一、基本条件</w:t>
      </w:r>
    </w:p>
    <w:p w14:paraId="465259CA">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1．热爱祖国，遵守国家法律、法规及学校规章制度；</w:t>
      </w:r>
    </w:p>
    <w:p w14:paraId="246CBC21">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2．尊敬师长，关心集体，团结同学，有良好的品德修养；</w:t>
      </w:r>
    </w:p>
    <w:p w14:paraId="687AA6ED">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3．学习勤奋，成绩优异，身心健康，符合西南交通大学奖助奖学金评选办法所规定的条件；</w:t>
      </w:r>
    </w:p>
    <w:p w14:paraId="00A6CC95">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4</w:t>
      </w:r>
      <w:r>
        <w:rPr>
          <w:rFonts w:hint="eastAsia" w:ascii="宋体" w:hAnsi="宋体" w:cs="宋体"/>
          <w:szCs w:val="24"/>
          <w14:ligatures w14:val="standardContextual"/>
        </w:rPr>
        <w:t>．在社会主义精神文明建设中表现突出，具有社会责任感，积极参与社会实践，有见义勇为、助人为乐、孝敬父母、奉献爱心、服务社会、自强自立的实际行动，在本校、本地区甚至全国产生积极影响，有助于树立良好的社会风尚。</w:t>
      </w:r>
    </w:p>
    <w:p w14:paraId="0C7CF13D">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二、其他条件</w:t>
      </w:r>
    </w:p>
    <w:p w14:paraId="106A4EA4">
      <w:pPr>
        <w:widowControl/>
        <w:spacing w:line="560" w:lineRule="exact"/>
        <w:ind w:firstLine="480" w:firstLineChars="0"/>
        <w:contextualSpacing/>
        <w:rPr>
          <w:rFonts w:ascii="宋体" w:hAnsi="宋体" w:cs="宋体"/>
          <w:szCs w:val="24"/>
          <w14:ligatures w14:val="standardContextual"/>
        </w:rPr>
      </w:pPr>
      <w:r>
        <w:rPr>
          <w:rFonts w:hint="eastAsia" w:ascii="宋体" w:hAnsi="宋体" w:cs="宋体"/>
          <w:szCs w:val="24"/>
          <w14:ligatures w14:val="standardContextual"/>
        </w:rPr>
        <w:t>“耀煌奖学金”（至少符合其中一个条件）</w:t>
      </w:r>
    </w:p>
    <w:p w14:paraId="24DA8E13">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1．参评学年综合素质评价成绩专业排名位于前10%（含10%）且智育成绩85分及以上，没有不及格科目；</w:t>
      </w:r>
    </w:p>
    <w:p w14:paraId="39BB3CCD">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2．在学术研究上取得显著成绩，以第一作者发表论文被SCI、EI、ISTP、SSCI全文收录，以第一、二作者出版学术专著；</w:t>
      </w:r>
    </w:p>
    <w:p w14:paraId="0C882211">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3</w:t>
      </w:r>
      <w:r>
        <w:rPr>
          <w:rFonts w:hint="eastAsia" w:ascii="宋体" w:hAnsi="宋体" w:cs="宋体"/>
          <w:szCs w:val="24"/>
          <w14:ligatures w14:val="standardContextual"/>
        </w:rPr>
        <w:t>．在学科竞赛方面取得显著成绩，获得A类学科竞赛省级一等奖（或金奖）及以上奖励；</w:t>
      </w:r>
    </w:p>
    <w:p w14:paraId="35E2CB12">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4</w:t>
      </w:r>
      <w:r>
        <w:rPr>
          <w:rFonts w:hint="eastAsia" w:ascii="宋体" w:hAnsi="宋体" w:cs="宋体"/>
          <w:szCs w:val="24"/>
          <w14:ligatures w14:val="standardContextual"/>
        </w:rPr>
        <w:t>．在创新发明方面取得显著成绩，科研成果获省、部级以上奖励或获得国家专利；</w:t>
      </w:r>
    </w:p>
    <w:p w14:paraId="3683612B">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5</w:t>
      </w:r>
      <w:r>
        <w:rPr>
          <w:rFonts w:hint="eastAsia" w:ascii="宋体" w:hAnsi="宋体" w:cs="宋体"/>
          <w:szCs w:val="24"/>
          <w14:ligatures w14:val="standardContextual"/>
        </w:rPr>
        <w:t>．在体育竞赛和重要文艺比赛中取得显著成绩，参加国际和全国性比赛获得前三名，参加省级比赛获得第一名，为国家和学校赢得荣誉（集体项目应为主要队员或演员）。</w:t>
      </w:r>
    </w:p>
    <w:bookmarkEnd w:id="20"/>
    <w:p w14:paraId="4C8BAB7A">
      <w:pPr>
        <w:widowControl/>
        <w:spacing w:line="560" w:lineRule="exact"/>
        <w:ind w:firstLine="480" w:firstLineChars="0"/>
        <w:contextualSpacing/>
        <w:rPr>
          <w:rFonts w:ascii="宋体" w:hAnsi="宋体" w:cs="宋体"/>
          <w:szCs w:val="24"/>
          <w14:ligatures w14:val="standardContextual"/>
        </w:rPr>
      </w:pPr>
      <w:r>
        <w:rPr>
          <w:rFonts w:hint="eastAsia" w:ascii="宋体" w:hAnsi="宋体" w:cs="宋体"/>
          <w:szCs w:val="24"/>
          <w14:ligatures w14:val="standardContextual"/>
        </w:rPr>
        <w:t>“耀煌助学金”</w:t>
      </w:r>
    </w:p>
    <w:p w14:paraId="6BE15EE8">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参评学年综合素质评价成绩专业排名在前40%（含40%）且智育成绩65分及以上，没有不及格科目；参评学年通过家庭经济困难认定。</w:t>
      </w:r>
    </w:p>
    <w:p w14:paraId="10328C16">
      <w:pPr>
        <w:widowControl/>
        <w:spacing w:line="560" w:lineRule="exact"/>
        <w:ind w:firstLine="480" w:firstLineChars="0"/>
        <w:contextualSpacing/>
        <w:rPr>
          <w:rFonts w:ascii="宋体" w:hAnsi="宋体" w:cs="宋体"/>
          <w:szCs w:val="24"/>
          <w14:ligatures w14:val="standardContextual"/>
        </w:rPr>
      </w:pPr>
      <w:r>
        <w:rPr>
          <w:rFonts w:hint="eastAsia" w:ascii="宋体" w:hAnsi="宋体" w:cs="宋体"/>
          <w:szCs w:val="24"/>
          <w14:ligatures w14:val="standardContextual"/>
        </w:rPr>
        <w:t>“耀煌优秀学生干部奖学金”</w:t>
      </w:r>
      <w:r>
        <w:rPr>
          <w:rFonts w:ascii="宋体" w:hAnsi="宋体" w:cs="宋体"/>
          <w:szCs w:val="24"/>
          <w14:ligatures w14:val="standardContextual"/>
        </w:rPr>
        <w:t xml:space="preserve"> </w:t>
      </w:r>
    </w:p>
    <w:p w14:paraId="7FB24BC0">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担任学生干部一年及以上，工认真负责，积极组织学生活动，具有服务意识、奉献精神和创新精神，在同学中有较高威信，成绩突出，起到了学生骨干和模范带头作用。</w:t>
      </w:r>
    </w:p>
    <w:bookmarkEnd w:id="19"/>
    <w:p w14:paraId="2ED13E77">
      <w:pPr>
        <w:widowControl/>
        <w:spacing w:line="560" w:lineRule="exact"/>
        <w:ind w:firstLine="480"/>
        <w:rPr>
          <w:rFonts w:ascii="宋体" w:hAnsi="宋体" w:cs="宋体"/>
          <w:szCs w:val="24"/>
          <w14:ligatures w14:val="standardContextual"/>
        </w:rPr>
      </w:pPr>
      <w:bookmarkStart w:id="21" w:name="_Hlk176335545"/>
      <w:r>
        <w:rPr>
          <w:rFonts w:hint="eastAsia" w:ascii="宋体" w:hAnsi="宋体" w:cs="宋体"/>
          <w:szCs w:val="24"/>
          <w14:ligatures w14:val="standardContextual"/>
        </w:rPr>
        <w:t>第五条</w:t>
      </w:r>
      <w:r>
        <w:rPr>
          <w:rFonts w:ascii="宋体" w:hAnsi="宋体" w:cs="宋体"/>
          <w:szCs w:val="24"/>
          <w14:ligatures w14:val="standardContextual"/>
        </w:rPr>
        <w:t xml:space="preserve">  </w:t>
      </w:r>
      <w:r>
        <w:rPr>
          <w:rFonts w:hint="eastAsia" w:ascii="宋体" w:hAnsi="宋体" w:cs="宋体"/>
          <w:szCs w:val="24"/>
          <w14:ligatures w14:val="standardContextual"/>
        </w:rPr>
        <w:t>评审程序</w:t>
      </w:r>
    </w:p>
    <w:p w14:paraId="065D4C83">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1．评审程序按西南交通大学专项奖学金评定程序执行；</w:t>
      </w:r>
    </w:p>
    <w:p w14:paraId="43217022">
      <w:pPr>
        <w:widowControl/>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w:t>
      </w:r>
      <w:r>
        <w:rPr>
          <w:rFonts w:ascii="宋体" w:hAnsi="宋体" w:cs="宋体"/>
          <w:szCs w:val="24"/>
          <w14:ligatures w14:val="standardContextual"/>
        </w:rPr>
        <w:t xml:space="preserve"> </w:t>
      </w:r>
      <w:r>
        <w:rPr>
          <w:rFonts w:hint="eastAsia" w:ascii="宋体" w:hAnsi="宋体" w:cs="宋体"/>
          <w:szCs w:val="24"/>
          <w14:ligatures w14:val="standardContextual"/>
        </w:rPr>
        <w:t>学生提出书面申请并上报至学院；</w:t>
      </w:r>
    </w:p>
    <w:p w14:paraId="56CA05DC">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3</w:t>
      </w:r>
      <w:r>
        <w:rPr>
          <w:rFonts w:hint="eastAsia" w:ascii="宋体" w:hAnsi="宋体" w:cs="宋体"/>
          <w:szCs w:val="24"/>
          <w14:ligatures w14:val="standardContextual"/>
        </w:rPr>
        <w:t>．学院评选确定推荐人员名单，并在学院公示；</w:t>
      </w:r>
    </w:p>
    <w:p w14:paraId="7060509F">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4</w:t>
      </w:r>
      <w:r>
        <w:rPr>
          <w:rFonts w:hint="eastAsia" w:ascii="宋体" w:hAnsi="宋体" w:cs="宋体"/>
          <w:szCs w:val="24"/>
          <w14:ligatures w14:val="standardContextual"/>
        </w:rPr>
        <w:t>．学院公示无异议后，组织学生填写《西南交通大学耀煌奖学金申请表》，学院将推荐材料分别报送党委学生工作部和党委研究生工作部；</w:t>
      </w:r>
    </w:p>
    <w:p w14:paraId="47391246">
      <w:pPr>
        <w:widowControl/>
        <w:spacing w:line="560" w:lineRule="exact"/>
        <w:ind w:firstLine="480"/>
        <w:rPr>
          <w:rFonts w:ascii="宋体" w:hAnsi="宋体" w:cs="宋体"/>
          <w:szCs w:val="24"/>
          <w14:ligatures w14:val="standardContextual"/>
        </w:rPr>
      </w:pPr>
      <w:r>
        <w:rPr>
          <w:rFonts w:ascii="宋体" w:hAnsi="宋体" w:cs="宋体"/>
          <w:szCs w:val="24"/>
          <w14:ligatures w14:val="standardContextual"/>
        </w:rPr>
        <w:t>5</w:t>
      </w:r>
      <w:r>
        <w:rPr>
          <w:rFonts w:hint="eastAsia" w:ascii="宋体" w:hAnsi="宋体" w:cs="宋体"/>
          <w:szCs w:val="24"/>
          <w14:ligatures w14:val="standardContextual"/>
        </w:rPr>
        <w:t>．党委学生工作部和党委研究生工作部将学生材料汇总、评选后确定最终获奖名单。</w:t>
      </w:r>
    </w:p>
    <w:p w14:paraId="7172D8C6">
      <w:pPr>
        <w:ind w:firstLine="480"/>
        <w:rPr>
          <w:rFonts w:hint="eastAsia" w:ascii="宋体" w:hAnsi="宋体" w:cs="宋体"/>
          <w:szCs w:val="24"/>
          <w14:ligatures w14:val="standardContextual"/>
        </w:rPr>
      </w:pPr>
      <w:r>
        <w:rPr>
          <w:rFonts w:hint="eastAsia" w:ascii="宋体" w:hAnsi="宋体" w:cs="宋体"/>
          <w:szCs w:val="24"/>
          <w14:ligatures w14:val="standardContextual"/>
        </w:rPr>
        <w:t>第六条 异议处理：对评选如有异议，可在公示期内，实名向学院专项奖学金评审委员会提出书面申诉，学院专项奖学金评审委员会组织审核，并将异议处理意见反馈至申诉人。</w:t>
      </w:r>
      <w:bookmarkEnd w:id="21"/>
    </w:p>
    <w:p w14:paraId="683A9C64">
      <w:pPr>
        <w:rPr>
          <w:rFonts w:hint="eastAsia" w:ascii="宋体" w:hAnsi="宋体" w:cs="宋体"/>
          <w:szCs w:val="24"/>
          <w14:ligatures w14:val="standardContextual"/>
        </w:rPr>
      </w:pPr>
      <w:r>
        <w:rPr>
          <w:rFonts w:hint="eastAsia" w:ascii="宋体" w:hAnsi="宋体" w:cs="宋体"/>
          <w:szCs w:val="24"/>
          <w14:ligatures w14:val="standardContextual"/>
        </w:rPr>
        <w:br w:type="page"/>
      </w:r>
    </w:p>
    <w:p w14:paraId="4B4221C0">
      <w:pPr>
        <w:pStyle w:val="2"/>
        <w:bidi w:val="0"/>
      </w:pPr>
      <w:bookmarkStart w:id="22" w:name="_Toc179538733"/>
      <w:bookmarkStart w:id="23" w:name="_Toc28462"/>
      <w:r>
        <w:rPr>
          <w:rFonts w:hint="eastAsia"/>
        </w:rPr>
        <w:t>经济管理学院“元朔动力奖学金”评定办法</w:t>
      </w:r>
      <w:bookmarkEnd w:id="22"/>
      <w:bookmarkEnd w:id="23"/>
    </w:p>
    <w:p w14:paraId="69B39373">
      <w:pPr>
        <w:spacing w:line="560" w:lineRule="exact"/>
        <w:ind w:firstLine="482"/>
        <w:rPr>
          <w:rFonts w:ascii="宋体" w:hAnsi="宋体" w:cs="宋体"/>
          <w:szCs w:val="24"/>
          <w14:ligatures w14:val="standardContextual"/>
        </w:rPr>
      </w:pPr>
      <w:r>
        <w:rPr>
          <w:rFonts w:hint="eastAsia" w:ascii="宋体" w:hAnsi="宋体" w:cs="宋体"/>
          <w:b/>
          <w:szCs w:val="24"/>
          <w14:ligatures w14:val="standardContextual"/>
        </w:rPr>
        <w:t>第一条</w:t>
      </w:r>
      <w:r>
        <w:rPr>
          <w:rFonts w:hint="eastAsia" w:ascii="宋体" w:hAnsi="宋体" w:cs="宋体"/>
          <w:szCs w:val="24"/>
          <w14:ligatures w14:val="standardContextual"/>
        </w:rPr>
        <w:t xml:space="preserve"> 西南交通大学经济管理学院“元朔动力奖学金”系我校校友，现任陕西元朔动力有限公司董事长黄福臣先生捐款 人民币60 万元（一次性到账），至西南交通大学经济管理学院设立“元朔动力奖学金”。用于奖励经济管理学院品学兼优的本科在校学生，提升学院本科人才培养质量，促进学生全面更好发展。其评定办法如下：</w:t>
      </w:r>
    </w:p>
    <w:p w14:paraId="0C3BBA62">
      <w:pPr>
        <w:spacing w:line="560" w:lineRule="exact"/>
        <w:ind w:firstLine="482"/>
        <w:rPr>
          <w:rFonts w:ascii="宋体" w:hAnsi="宋体" w:cs="宋体"/>
          <w:szCs w:val="24"/>
          <w14:ligatures w14:val="standardContextual"/>
        </w:rPr>
      </w:pPr>
      <w:r>
        <w:rPr>
          <w:rFonts w:hint="eastAsia" w:ascii="宋体" w:hAnsi="宋体" w:cs="宋体"/>
          <w:b/>
          <w:szCs w:val="24"/>
          <w14:ligatures w14:val="standardContextual"/>
        </w:rPr>
        <w:t>第二条</w:t>
      </w:r>
      <w:r>
        <w:rPr>
          <w:rFonts w:hint="eastAsia" w:ascii="宋体" w:hAnsi="宋体" w:cs="宋体"/>
          <w:szCs w:val="24"/>
          <w14:ligatures w14:val="standardContextual"/>
        </w:rPr>
        <w:t xml:space="preserve"> 奖励对象：西南交通大学经济管理学院全日制在读的本科生。</w:t>
      </w:r>
    </w:p>
    <w:p w14:paraId="0A31F0A8">
      <w:pPr>
        <w:spacing w:line="560" w:lineRule="exact"/>
        <w:ind w:firstLine="482"/>
        <w:rPr>
          <w:rFonts w:ascii="宋体" w:hAnsi="宋体" w:cs="宋体"/>
          <w:szCs w:val="24"/>
          <w14:ligatures w14:val="standardContextual"/>
        </w:rPr>
      </w:pPr>
      <w:r>
        <w:rPr>
          <w:rFonts w:hint="eastAsia" w:ascii="宋体" w:hAnsi="宋体" w:cs="宋体"/>
          <w:b/>
          <w:szCs w:val="24"/>
          <w14:ligatures w14:val="standardContextual"/>
        </w:rPr>
        <w:t>第三条</w:t>
      </w:r>
      <w:r>
        <w:rPr>
          <w:rFonts w:hint="eastAsia" w:ascii="宋体" w:hAnsi="宋体" w:cs="宋体"/>
          <w:szCs w:val="24"/>
          <w14:ligatures w14:val="standardContextual"/>
        </w:rPr>
        <w:t xml:space="preserve"> 奖励人数及金额： </w:t>
      </w:r>
    </w:p>
    <w:p w14:paraId="5C19D28F">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1．“元朔动力奖学金”，全院每年评选本科生5 名，每名获奖学生每年奖励人民币 5000 元。</w:t>
      </w:r>
    </w:p>
    <w:p w14:paraId="268214DC">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2．“元朔动力工管奖学金”，每学年奖励1名2－4年级工程管理专业本科生，奖励金额为人民币8000元。</w:t>
      </w:r>
    </w:p>
    <w:p w14:paraId="333D1E0F">
      <w:pPr>
        <w:spacing w:line="560" w:lineRule="exact"/>
        <w:ind w:firstLine="482"/>
        <w:rPr>
          <w:rFonts w:ascii="宋体" w:hAnsi="宋体" w:cs="宋体"/>
          <w:szCs w:val="24"/>
          <w14:ligatures w14:val="standardContextual"/>
        </w:rPr>
      </w:pPr>
      <w:r>
        <w:rPr>
          <w:rFonts w:hint="eastAsia" w:ascii="宋体" w:hAnsi="宋体" w:cs="宋体"/>
          <w:b/>
          <w:szCs w:val="24"/>
          <w14:ligatures w14:val="standardContextual"/>
        </w:rPr>
        <w:t>第四条</w:t>
      </w:r>
      <w:r>
        <w:rPr>
          <w:rFonts w:hint="eastAsia" w:ascii="宋体" w:hAnsi="宋体" w:cs="宋体"/>
          <w:szCs w:val="24"/>
          <w14:ligatures w14:val="standardContextual"/>
        </w:rPr>
        <w:t xml:space="preserve"> 评审条件</w:t>
      </w:r>
    </w:p>
    <w:p w14:paraId="7BAB9E01">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申请“元朔动力奖学金”的学生应符合以下条件：</w:t>
      </w:r>
    </w:p>
    <w:p w14:paraId="1D03CF52">
      <w:pPr>
        <w:spacing w:line="560" w:lineRule="exact"/>
        <w:ind w:firstLine="482"/>
        <w:rPr>
          <w:rFonts w:ascii="宋体" w:hAnsi="宋体" w:cs="宋体"/>
          <w:b/>
          <w:szCs w:val="24"/>
          <w14:ligatures w14:val="standardContextual"/>
        </w:rPr>
      </w:pPr>
      <w:r>
        <w:rPr>
          <w:rFonts w:hint="eastAsia" w:ascii="宋体" w:hAnsi="宋体" w:cs="宋体"/>
          <w:b/>
          <w:szCs w:val="24"/>
          <w14:ligatures w14:val="standardContextual"/>
        </w:rPr>
        <w:t>一、基本条件</w:t>
      </w:r>
    </w:p>
    <w:p w14:paraId="52D0971B">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1．热爱祖国，遵守国家法律、法规及学校规章制度；</w:t>
      </w:r>
    </w:p>
    <w:p w14:paraId="6615E37A">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2．尊敬师长，关心集体，团结同学，有良好的品德修养；</w:t>
      </w:r>
    </w:p>
    <w:p w14:paraId="4CDB8766">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3．学习勤奋，成绩优异，身心健康，符合西南交通大学奖助奖学金评选办法所规定的条件；</w:t>
      </w:r>
    </w:p>
    <w:p w14:paraId="4A71A392">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4．在社会主义精神文明建设中表现突出，具有社会责任感，积极参与社会实践，有见义勇为、助人为乐、孝敬父母、奉献爱心、服务社会、自强自立的实际行动，在本校、本地区甚至全国产生积极影响，有助于树立良好的社会风尚。</w:t>
      </w:r>
    </w:p>
    <w:p w14:paraId="6F74DF3A">
      <w:pPr>
        <w:spacing w:line="560" w:lineRule="exact"/>
        <w:ind w:firstLine="482"/>
        <w:rPr>
          <w:rFonts w:ascii="宋体" w:hAnsi="宋体" w:cs="宋体"/>
          <w:szCs w:val="24"/>
          <w14:ligatures w14:val="standardContextual"/>
        </w:rPr>
      </w:pPr>
      <w:r>
        <w:rPr>
          <w:rFonts w:hint="eastAsia" w:ascii="宋体" w:hAnsi="宋体" w:cs="宋体"/>
          <w:b/>
          <w:szCs w:val="24"/>
          <w14:ligatures w14:val="standardContextual"/>
        </w:rPr>
        <w:t>二、 其他条件</w:t>
      </w:r>
    </w:p>
    <w:p w14:paraId="74C1B3D6">
      <w:pPr>
        <w:numPr>
          <w:ilvl w:val="0"/>
          <w:numId w:val="1"/>
        </w:numPr>
        <w:spacing w:after="160" w:line="560" w:lineRule="exact"/>
        <w:ind w:firstLineChars="0"/>
        <w:contextualSpacing/>
        <w:jc w:val="left"/>
        <w:rPr>
          <w:rFonts w:ascii="宋体" w:hAnsi="宋体" w:cs="宋体"/>
          <w:szCs w:val="24"/>
          <w14:ligatures w14:val="standardContextual"/>
        </w:rPr>
      </w:pPr>
      <w:r>
        <w:rPr>
          <w:rFonts w:hint="eastAsia" w:ascii="宋体" w:hAnsi="宋体" w:cs="宋体"/>
          <w:szCs w:val="24"/>
          <w14:ligatures w14:val="standardContextual"/>
        </w:rPr>
        <w:t>“元朔动力奖学金” （至少符合其中一个条件）</w:t>
      </w:r>
    </w:p>
    <w:p w14:paraId="782A8F7A">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1．参评学年综合素质评价成绩专业排名位于前 10%且智育成绩 85 分及以上，无挂科记录；</w:t>
      </w:r>
    </w:p>
    <w:p w14:paraId="45C6550B">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2．在学科竞赛方面取得显著成绩，获得 A 类学科竞赛省级一等奖（或金奖）及以上奖励；</w:t>
      </w:r>
    </w:p>
    <w:p w14:paraId="12D203FE">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3．在体育竞赛和重要文艺比赛中取得显著成绩，参加国际和全国性比赛获得前三名，参加省级比赛获得第一名，为国家和学校赢得荣誉（集体项目应为主要队员或演员） 。</w:t>
      </w:r>
    </w:p>
    <w:p w14:paraId="40AD6306">
      <w:pPr>
        <w:numPr>
          <w:ilvl w:val="0"/>
          <w:numId w:val="1"/>
        </w:numPr>
        <w:spacing w:after="160" w:line="560" w:lineRule="exact"/>
        <w:ind w:firstLineChars="0"/>
        <w:contextualSpacing/>
        <w:jc w:val="left"/>
        <w:rPr>
          <w:rFonts w:ascii="宋体" w:hAnsi="宋体" w:cs="宋体"/>
          <w:szCs w:val="24"/>
          <w14:ligatures w14:val="standardContextual"/>
        </w:rPr>
      </w:pPr>
      <w:r>
        <w:rPr>
          <w:rFonts w:hint="eastAsia" w:ascii="宋体" w:hAnsi="宋体" w:cs="宋体"/>
          <w:szCs w:val="24"/>
          <w14:ligatures w14:val="standardContextual"/>
        </w:rPr>
        <w:t>“元朔动力工管奖学金”</w:t>
      </w:r>
    </w:p>
    <w:p w14:paraId="7DDF3273">
      <w:pPr>
        <w:spacing w:line="560" w:lineRule="exact"/>
        <w:ind w:firstLine="480"/>
        <w:rPr>
          <w:rFonts w:ascii="宋体" w:hAnsi="宋体" w:cs="宋体"/>
          <w:szCs w:val="24"/>
          <w:shd w:val="clear" w:color="auto" w:fill="FFFFFF"/>
          <w:lang w:bidi="ar"/>
          <w14:ligatures w14:val="standardContextual"/>
        </w:rPr>
      </w:pPr>
      <w:r>
        <w:rPr>
          <w:rFonts w:hint="eastAsia" w:ascii="宋体" w:hAnsi="宋体" w:cs="宋体"/>
          <w:szCs w:val="24"/>
          <w14:ligatures w14:val="standardContextual"/>
        </w:rPr>
        <w:t>1．</w:t>
      </w:r>
      <w:r>
        <w:rPr>
          <w:rFonts w:hint="eastAsia" w:ascii="宋体" w:hAnsi="宋体" w:cs="宋体"/>
          <w:szCs w:val="24"/>
          <w:shd w:val="clear" w:color="auto" w:fill="FFFFFF"/>
          <w:lang w:bidi="ar"/>
          <w14:ligatures w14:val="standardContextual"/>
        </w:rPr>
        <w:t>参评学年综合素质评价成绩工程管理专业年级排名位于前10%，无挂科记录。</w:t>
      </w:r>
    </w:p>
    <w:p w14:paraId="1BD58BC1">
      <w:pPr>
        <w:widowControl/>
        <w:shd w:val="clear" w:color="auto" w:fill="FFFFFF"/>
        <w:adjustRightInd w:val="0"/>
        <w:snapToGrid w:val="0"/>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2．担任学生干部一年及以上，工作认真负责，积极组织学生活动，具有服务意识、奉献精神和创新精神。</w:t>
      </w:r>
    </w:p>
    <w:p w14:paraId="6E078D05">
      <w:pPr>
        <w:widowControl/>
        <w:shd w:val="clear" w:color="auto" w:fill="FFFFFF"/>
        <w:adjustRightInd w:val="0"/>
        <w:snapToGrid w:val="0"/>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3．在学科竞赛方面取得显著成绩，获得 A 类学科竞赛（以学校最新公布版为准）省级一等奖（或金奖）及以上奖励或其他学科竞赛（以学院最新公布版为准）国家二等奖及以上奖励。</w:t>
      </w:r>
    </w:p>
    <w:p w14:paraId="79956161">
      <w:pPr>
        <w:spacing w:line="560" w:lineRule="exact"/>
        <w:ind w:firstLine="482"/>
        <w:rPr>
          <w:rFonts w:ascii="宋体" w:hAnsi="宋体" w:cs="宋体"/>
          <w:szCs w:val="24"/>
          <w14:ligatures w14:val="standardContextual"/>
        </w:rPr>
      </w:pPr>
      <w:r>
        <w:rPr>
          <w:rFonts w:hint="eastAsia" w:ascii="宋体" w:hAnsi="宋体" w:cs="宋体"/>
          <w:b/>
          <w:szCs w:val="24"/>
          <w14:ligatures w14:val="standardContextual"/>
        </w:rPr>
        <w:t xml:space="preserve">第五条 </w:t>
      </w:r>
      <w:r>
        <w:rPr>
          <w:rFonts w:hint="eastAsia" w:ascii="宋体" w:hAnsi="宋体" w:cs="宋体"/>
          <w:szCs w:val="24"/>
          <w14:ligatures w14:val="standardContextual"/>
        </w:rPr>
        <w:t>评审程序</w:t>
      </w:r>
    </w:p>
    <w:p w14:paraId="4AFAADC1">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1．评审程序按西南交通大学专项奖学金评定程序执行；</w:t>
      </w:r>
    </w:p>
    <w:p w14:paraId="75B7788E">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2. 学生提出书面申请并上报至学院；</w:t>
      </w:r>
    </w:p>
    <w:p w14:paraId="57A0E54B">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3．学院评选确定推荐人员名单，并在学院公示；</w:t>
      </w:r>
    </w:p>
    <w:p w14:paraId="18E889F3">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4．学院公示无异议后，学院将推荐材料分别报送党委学生工作部和党委研究生工作部；</w:t>
      </w:r>
    </w:p>
    <w:p w14:paraId="30A5AC47">
      <w:pPr>
        <w:spacing w:line="560" w:lineRule="exact"/>
        <w:ind w:firstLine="480"/>
        <w:rPr>
          <w:rFonts w:ascii="宋体" w:hAnsi="宋体" w:cs="宋体"/>
          <w:szCs w:val="24"/>
          <w14:ligatures w14:val="standardContextual"/>
        </w:rPr>
      </w:pPr>
      <w:r>
        <w:rPr>
          <w:rFonts w:hint="eastAsia" w:ascii="宋体" w:hAnsi="宋体" w:cs="宋体"/>
          <w:szCs w:val="24"/>
          <w14:ligatures w14:val="standardContextual"/>
        </w:rPr>
        <w:t>5．党委学生工作部和党委研究生工作部将学生材料汇总、评选后确定最终获奖名单。</w:t>
      </w:r>
    </w:p>
    <w:p w14:paraId="680928BA">
      <w:pPr>
        <w:spacing w:line="560" w:lineRule="exact"/>
        <w:ind w:firstLine="482"/>
        <w:rPr>
          <w:rFonts w:hint="eastAsia" w:ascii="宋体" w:hAnsi="宋体"/>
          <w:sz w:val="24"/>
          <w:highlight w:val="none"/>
          <w:lang w:eastAsia="zh-CN"/>
        </w:rPr>
      </w:pPr>
      <w:r>
        <w:rPr>
          <w:rFonts w:hint="eastAsia" w:ascii="宋体" w:hAnsi="宋体" w:cs="宋体"/>
          <w:b/>
          <w:szCs w:val="24"/>
          <w14:ligatures w14:val="standardContextual"/>
        </w:rPr>
        <w:t>第六条</w:t>
      </w:r>
      <w:r>
        <w:rPr>
          <w:rFonts w:hint="eastAsia" w:ascii="宋体" w:hAnsi="宋体" w:cs="宋体"/>
          <w:szCs w:val="24"/>
          <w14:ligatures w14:val="standardContextual"/>
        </w:rPr>
        <w:t xml:space="preserve"> 异议处理：对评选如有异议，可在公示期内，实名向学院专项奖学金评审委员会提出书面申诉，学院专项奖学金评审委员会组织审核，并将异议处理意见反馈至申诉人。</w:t>
      </w:r>
    </w:p>
    <w:sectPr>
      <w:footerReference r:id="rId11" w:type="default"/>
      <w:pgSz w:w="11906" w:h="16838"/>
      <w:pgMar w:top="1531" w:right="1474" w:bottom="1531"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490C3">
    <w:pPr>
      <w:pStyle w:val="13"/>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DDF5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0DDF5A">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018057C6">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BE9C">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093D">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A98E4">
    <w:pPr>
      <w:pStyle w:val="13"/>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36427E">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36427E">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F74D0">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7E03D">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057C">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651E7"/>
    <w:multiLevelType w:val="multilevel"/>
    <w:tmpl w:val="552651E7"/>
    <w:lvl w:ilvl="0" w:tentative="0">
      <w:start w:val="1"/>
      <w:numFmt w:val="bullet"/>
      <w:lvlText w:val=""/>
      <w:lvlJc w:val="left"/>
      <w:pPr>
        <w:ind w:left="1060" w:hanging="420"/>
      </w:pPr>
      <w:rPr>
        <w:rFonts w:hint="default" w:ascii="Wingdings" w:hAnsi="Wingdings"/>
      </w:rPr>
    </w:lvl>
    <w:lvl w:ilvl="1" w:tentative="0">
      <w:start w:val="1"/>
      <w:numFmt w:val="bullet"/>
      <w:lvlText w:val=""/>
      <w:lvlJc w:val="left"/>
      <w:pPr>
        <w:ind w:left="1480" w:hanging="420"/>
      </w:pPr>
      <w:rPr>
        <w:rFonts w:hint="default" w:ascii="Wingdings" w:hAnsi="Wingdings"/>
      </w:rPr>
    </w:lvl>
    <w:lvl w:ilvl="2" w:tentative="0">
      <w:start w:val="1"/>
      <w:numFmt w:val="bullet"/>
      <w:lvlText w:val=""/>
      <w:lvlJc w:val="left"/>
      <w:pPr>
        <w:ind w:left="1900" w:hanging="420"/>
      </w:pPr>
      <w:rPr>
        <w:rFonts w:hint="default" w:ascii="Wingdings" w:hAnsi="Wingdings"/>
      </w:rPr>
    </w:lvl>
    <w:lvl w:ilvl="3" w:tentative="0">
      <w:start w:val="1"/>
      <w:numFmt w:val="bullet"/>
      <w:lvlText w:val=""/>
      <w:lvlJc w:val="left"/>
      <w:pPr>
        <w:ind w:left="2320" w:hanging="420"/>
      </w:pPr>
      <w:rPr>
        <w:rFonts w:hint="default" w:ascii="Wingdings" w:hAnsi="Wingdings"/>
      </w:rPr>
    </w:lvl>
    <w:lvl w:ilvl="4" w:tentative="0">
      <w:start w:val="1"/>
      <w:numFmt w:val="bullet"/>
      <w:lvlText w:val=""/>
      <w:lvlJc w:val="left"/>
      <w:pPr>
        <w:ind w:left="2740" w:hanging="420"/>
      </w:pPr>
      <w:rPr>
        <w:rFonts w:hint="default" w:ascii="Wingdings" w:hAnsi="Wingdings"/>
      </w:rPr>
    </w:lvl>
    <w:lvl w:ilvl="5" w:tentative="0">
      <w:start w:val="1"/>
      <w:numFmt w:val="bullet"/>
      <w:lvlText w:val=""/>
      <w:lvlJc w:val="left"/>
      <w:pPr>
        <w:ind w:left="3160" w:hanging="420"/>
      </w:pPr>
      <w:rPr>
        <w:rFonts w:hint="default" w:ascii="Wingdings" w:hAnsi="Wingdings"/>
      </w:rPr>
    </w:lvl>
    <w:lvl w:ilvl="6" w:tentative="0">
      <w:start w:val="1"/>
      <w:numFmt w:val="bullet"/>
      <w:lvlText w:val=""/>
      <w:lvlJc w:val="left"/>
      <w:pPr>
        <w:ind w:left="3580" w:hanging="420"/>
      </w:pPr>
      <w:rPr>
        <w:rFonts w:hint="default" w:ascii="Wingdings" w:hAnsi="Wingdings"/>
      </w:rPr>
    </w:lvl>
    <w:lvl w:ilvl="7" w:tentative="0">
      <w:start w:val="1"/>
      <w:numFmt w:val="bullet"/>
      <w:lvlText w:val=""/>
      <w:lvlJc w:val="left"/>
      <w:pPr>
        <w:ind w:left="4000" w:hanging="420"/>
      </w:pPr>
      <w:rPr>
        <w:rFonts w:hint="default" w:ascii="Wingdings" w:hAnsi="Wingdings"/>
      </w:rPr>
    </w:lvl>
    <w:lvl w:ilvl="8" w:tentative="0">
      <w:start w:val="1"/>
      <w:numFmt w:val="bullet"/>
      <w:lvlText w:val=""/>
      <w:lvlJc w:val="left"/>
      <w:pPr>
        <w:ind w:left="4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hMTViNTEzZWI4OTVmY2FhYTNlNjgyYjA1OWUyYzkifQ=="/>
  </w:docVars>
  <w:rsids>
    <w:rsidRoot w:val="004301BB"/>
    <w:rsid w:val="0000608D"/>
    <w:rsid w:val="000156FA"/>
    <w:rsid w:val="00034B9E"/>
    <w:rsid w:val="00063B8A"/>
    <w:rsid w:val="00082910"/>
    <w:rsid w:val="000916F5"/>
    <w:rsid w:val="0009220C"/>
    <w:rsid w:val="00093AC9"/>
    <w:rsid w:val="000A3A6A"/>
    <w:rsid w:val="000B59E6"/>
    <w:rsid w:val="000D006C"/>
    <w:rsid w:val="000D1602"/>
    <w:rsid w:val="000D591F"/>
    <w:rsid w:val="000E2530"/>
    <w:rsid w:val="000E6D78"/>
    <w:rsid w:val="00100BAA"/>
    <w:rsid w:val="00124917"/>
    <w:rsid w:val="0013265D"/>
    <w:rsid w:val="001339F3"/>
    <w:rsid w:val="00137969"/>
    <w:rsid w:val="00141BC5"/>
    <w:rsid w:val="00155485"/>
    <w:rsid w:val="001636BF"/>
    <w:rsid w:val="00164AD2"/>
    <w:rsid w:val="00196485"/>
    <w:rsid w:val="001B0225"/>
    <w:rsid w:val="001B1325"/>
    <w:rsid w:val="001B743A"/>
    <w:rsid w:val="001C00CC"/>
    <w:rsid w:val="001F2302"/>
    <w:rsid w:val="001F5150"/>
    <w:rsid w:val="00201796"/>
    <w:rsid w:val="00225C2D"/>
    <w:rsid w:val="002348D1"/>
    <w:rsid w:val="00251216"/>
    <w:rsid w:val="00252EE0"/>
    <w:rsid w:val="0026710F"/>
    <w:rsid w:val="00281572"/>
    <w:rsid w:val="00291F30"/>
    <w:rsid w:val="002A3D17"/>
    <w:rsid w:val="002A54A4"/>
    <w:rsid w:val="002A7800"/>
    <w:rsid w:val="002B2105"/>
    <w:rsid w:val="002C51B7"/>
    <w:rsid w:val="002D077E"/>
    <w:rsid w:val="002D4318"/>
    <w:rsid w:val="002E2137"/>
    <w:rsid w:val="002E70AB"/>
    <w:rsid w:val="002E7A4F"/>
    <w:rsid w:val="002F1F82"/>
    <w:rsid w:val="00300AFB"/>
    <w:rsid w:val="00303C8E"/>
    <w:rsid w:val="003209C2"/>
    <w:rsid w:val="00350844"/>
    <w:rsid w:val="003540F3"/>
    <w:rsid w:val="003652D2"/>
    <w:rsid w:val="003746BE"/>
    <w:rsid w:val="003828C1"/>
    <w:rsid w:val="00383B96"/>
    <w:rsid w:val="0038743A"/>
    <w:rsid w:val="003C0B92"/>
    <w:rsid w:val="003C29BE"/>
    <w:rsid w:val="003C6EFE"/>
    <w:rsid w:val="003F38BA"/>
    <w:rsid w:val="00401E59"/>
    <w:rsid w:val="00412324"/>
    <w:rsid w:val="00425CEB"/>
    <w:rsid w:val="004301BB"/>
    <w:rsid w:val="00442F07"/>
    <w:rsid w:val="004462E8"/>
    <w:rsid w:val="0045620F"/>
    <w:rsid w:val="0046317A"/>
    <w:rsid w:val="0047600D"/>
    <w:rsid w:val="004777D7"/>
    <w:rsid w:val="004828B9"/>
    <w:rsid w:val="00492379"/>
    <w:rsid w:val="00492F50"/>
    <w:rsid w:val="0049574A"/>
    <w:rsid w:val="004A6CDE"/>
    <w:rsid w:val="004B1F6E"/>
    <w:rsid w:val="004D023D"/>
    <w:rsid w:val="004D48C0"/>
    <w:rsid w:val="004D75F1"/>
    <w:rsid w:val="004E0097"/>
    <w:rsid w:val="004F270A"/>
    <w:rsid w:val="005201C0"/>
    <w:rsid w:val="00520503"/>
    <w:rsid w:val="00520E17"/>
    <w:rsid w:val="00523BCD"/>
    <w:rsid w:val="00525C8C"/>
    <w:rsid w:val="00525D7E"/>
    <w:rsid w:val="005275B3"/>
    <w:rsid w:val="00530DCC"/>
    <w:rsid w:val="0053695A"/>
    <w:rsid w:val="00545599"/>
    <w:rsid w:val="00551EFE"/>
    <w:rsid w:val="0056658F"/>
    <w:rsid w:val="00580087"/>
    <w:rsid w:val="005817CF"/>
    <w:rsid w:val="00581A9C"/>
    <w:rsid w:val="00612BF6"/>
    <w:rsid w:val="00641F02"/>
    <w:rsid w:val="00645D2D"/>
    <w:rsid w:val="006541F4"/>
    <w:rsid w:val="0067262C"/>
    <w:rsid w:val="00675CB2"/>
    <w:rsid w:val="00681F6C"/>
    <w:rsid w:val="00682F8C"/>
    <w:rsid w:val="00684A5A"/>
    <w:rsid w:val="006C3479"/>
    <w:rsid w:val="006F3E6E"/>
    <w:rsid w:val="00715EE6"/>
    <w:rsid w:val="0072550F"/>
    <w:rsid w:val="00727482"/>
    <w:rsid w:val="00732019"/>
    <w:rsid w:val="00742BE6"/>
    <w:rsid w:val="007516E6"/>
    <w:rsid w:val="00755149"/>
    <w:rsid w:val="00761859"/>
    <w:rsid w:val="00762C69"/>
    <w:rsid w:val="0076542D"/>
    <w:rsid w:val="00770E90"/>
    <w:rsid w:val="00797761"/>
    <w:rsid w:val="007B084B"/>
    <w:rsid w:val="007B3004"/>
    <w:rsid w:val="007B5B1E"/>
    <w:rsid w:val="007C50A8"/>
    <w:rsid w:val="007D0FB7"/>
    <w:rsid w:val="007E224D"/>
    <w:rsid w:val="007F328D"/>
    <w:rsid w:val="007F61A1"/>
    <w:rsid w:val="00801290"/>
    <w:rsid w:val="00814B58"/>
    <w:rsid w:val="008265ED"/>
    <w:rsid w:val="00834DFE"/>
    <w:rsid w:val="00834F06"/>
    <w:rsid w:val="00842659"/>
    <w:rsid w:val="0085021A"/>
    <w:rsid w:val="0089374D"/>
    <w:rsid w:val="008B5C54"/>
    <w:rsid w:val="008C3722"/>
    <w:rsid w:val="008D04F2"/>
    <w:rsid w:val="008D553E"/>
    <w:rsid w:val="008D5926"/>
    <w:rsid w:val="008E2485"/>
    <w:rsid w:val="008E26D5"/>
    <w:rsid w:val="008E3946"/>
    <w:rsid w:val="008F2D66"/>
    <w:rsid w:val="008F7639"/>
    <w:rsid w:val="00905A80"/>
    <w:rsid w:val="009402CF"/>
    <w:rsid w:val="009501F2"/>
    <w:rsid w:val="00957FFD"/>
    <w:rsid w:val="00966121"/>
    <w:rsid w:val="00974436"/>
    <w:rsid w:val="00993B72"/>
    <w:rsid w:val="009A2D1F"/>
    <w:rsid w:val="009B0E49"/>
    <w:rsid w:val="009B1043"/>
    <w:rsid w:val="009B6781"/>
    <w:rsid w:val="009C27DD"/>
    <w:rsid w:val="009D455A"/>
    <w:rsid w:val="009E3A1F"/>
    <w:rsid w:val="009F3853"/>
    <w:rsid w:val="00A06C6A"/>
    <w:rsid w:val="00A11001"/>
    <w:rsid w:val="00A322AE"/>
    <w:rsid w:val="00A330B0"/>
    <w:rsid w:val="00A5082B"/>
    <w:rsid w:val="00A52FA7"/>
    <w:rsid w:val="00A615D1"/>
    <w:rsid w:val="00A61F61"/>
    <w:rsid w:val="00A71659"/>
    <w:rsid w:val="00A76875"/>
    <w:rsid w:val="00A85A99"/>
    <w:rsid w:val="00AA0382"/>
    <w:rsid w:val="00AA29BE"/>
    <w:rsid w:val="00AA7E66"/>
    <w:rsid w:val="00AB2345"/>
    <w:rsid w:val="00AD2CC1"/>
    <w:rsid w:val="00AD5E3D"/>
    <w:rsid w:val="00AE3892"/>
    <w:rsid w:val="00AF37D4"/>
    <w:rsid w:val="00B14335"/>
    <w:rsid w:val="00B21E0F"/>
    <w:rsid w:val="00B56186"/>
    <w:rsid w:val="00B60984"/>
    <w:rsid w:val="00B90722"/>
    <w:rsid w:val="00BA0A32"/>
    <w:rsid w:val="00BA52AF"/>
    <w:rsid w:val="00BB5455"/>
    <w:rsid w:val="00BC5C80"/>
    <w:rsid w:val="00BD7A35"/>
    <w:rsid w:val="00BE239F"/>
    <w:rsid w:val="00BE42FB"/>
    <w:rsid w:val="00C0377C"/>
    <w:rsid w:val="00C1763D"/>
    <w:rsid w:val="00C27CF0"/>
    <w:rsid w:val="00C35E93"/>
    <w:rsid w:val="00C473B9"/>
    <w:rsid w:val="00C629A2"/>
    <w:rsid w:val="00C73DCE"/>
    <w:rsid w:val="00C80B1A"/>
    <w:rsid w:val="00C966CD"/>
    <w:rsid w:val="00CA1133"/>
    <w:rsid w:val="00CA7AD7"/>
    <w:rsid w:val="00CC3901"/>
    <w:rsid w:val="00CD2A82"/>
    <w:rsid w:val="00D017B0"/>
    <w:rsid w:val="00D05628"/>
    <w:rsid w:val="00D20429"/>
    <w:rsid w:val="00D30605"/>
    <w:rsid w:val="00D41646"/>
    <w:rsid w:val="00D41B19"/>
    <w:rsid w:val="00D41C05"/>
    <w:rsid w:val="00D51090"/>
    <w:rsid w:val="00D57D65"/>
    <w:rsid w:val="00D603AF"/>
    <w:rsid w:val="00D632A3"/>
    <w:rsid w:val="00D776D9"/>
    <w:rsid w:val="00D94B76"/>
    <w:rsid w:val="00DA070E"/>
    <w:rsid w:val="00DA1726"/>
    <w:rsid w:val="00DA3933"/>
    <w:rsid w:val="00DA3FF2"/>
    <w:rsid w:val="00DC6AB8"/>
    <w:rsid w:val="00DD2A20"/>
    <w:rsid w:val="00DD4890"/>
    <w:rsid w:val="00DF2A50"/>
    <w:rsid w:val="00DF6633"/>
    <w:rsid w:val="00DF713E"/>
    <w:rsid w:val="00DF7667"/>
    <w:rsid w:val="00E10ED3"/>
    <w:rsid w:val="00E21F24"/>
    <w:rsid w:val="00E26C59"/>
    <w:rsid w:val="00E5310C"/>
    <w:rsid w:val="00E56215"/>
    <w:rsid w:val="00E64D9B"/>
    <w:rsid w:val="00E731F1"/>
    <w:rsid w:val="00E80F45"/>
    <w:rsid w:val="00E86311"/>
    <w:rsid w:val="00EA1442"/>
    <w:rsid w:val="00EA4B99"/>
    <w:rsid w:val="00EB39F1"/>
    <w:rsid w:val="00EB5D4D"/>
    <w:rsid w:val="00EC3E6D"/>
    <w:rsid w:val="00EC4CAE"/>
    <w:rsid w:val="00ED423B"/>
    <w:rsid w:val="00F077A3"/>
    <w:rsid w:val="00F1104C"/>
    <w:rsid w:val="00F11A0C"/>
    <w:rsid w:val="00F242D7"/>
    <w:rsid w:val="00F35F61"/>
    <w:rsid w:val="00F6544A"/>
    <w:rsid w:val="00F73E12"/>
    <w:rsid w:val="00F824E8"/>
    <w:rsid w:val="00F91EA7"/>
    <w:rsid w:val="00F9638B"/>
    <w:rsid w:val="00FA1D88"/>
    <w:rsid w:val="00FA3148"/>
    <w:rsid w:val="00FC3D85"/>
    <w:rsid w:val="00FD28F1"/>
    <w:rsid w:val="00FD39E7"/>
    <w:rsid w:val="01761FD0"/>
    <w:rsid w:val="019F716A"/>
    <w:rsid w:val="030B650C"/>
    <w:rsid w:val="04DF5545"/>
    <w:rsid w:val="0A065C97"/>
    <w:rsid w:val="0C002C9E"/>
    <w:rsid w:val="0DB55A7E"/>
    <w:rsid w:val="12CA1191"/>
    <w:rsid w:val="133D3B33"/>
    <w:rsid w:val="140763E1"/>
    <w:rsid w:val="16BD3AAF"/>
    <w:rsid w:val="1763654B"/>
    <w:rsid w:val="181B525E"/>
    <w:rsid w:val="1AF82023"/>
    <w:rsid w:val="1B1F0F88"/>
    <w:rsid w:val="2090081A"/>
    <w:rsid w:val="28464A4E"/>
    <w:rsid w:val="2D256324"/>
    <w:rsid w:val="335F00B6"/>
    <w:rsid w:val="34FB27CA"/>
    <w:rsid w:val="36F21768"/>
    <w:rsid w:val="376E2676"/>
    <w:rsid w:val="38194F3B"/>
    <w:rsid w:val="3BF42EF3"/>
    <w:rsid w:val="3C9202F6"/>
    <w:rsid w:val="3FE14AD3"/>
    <w:rsid w:val="408C641E"/>
    <w:rsid w:val="415D6C67"/>
    <w:rsid w:val="43F276C8"/>
    <w:rsid w:val="49410093"/>
    <w:rsid w:val="4FA930E5"/>
    <w:rsid w:val="51FE3A4A"/>
    <w:rsid w:val="58CD77EE"/>
    <w:rsid w:val="5C6D3959"/>
    <w:rsid w:val="632103F6"/>
    <w:rsid w:val="6CEC5479"/>
    <w:rsid w:val="6DB06530"/>
    <w:rsid w:val="6E691BA5"/>
    <w:rsid w:val="70FB6E48"/>
    <w:rsid w:val="717F2C86"/>
    <w:rsid w:val="73232EB9"/>
    <w:rsid w:val="749565B5"/>
    <w:rsid w:val="78ED2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9"/>
    <w:qFormat/>
    <w:uiPriority w:val="9"/>
    <w:pPr>
      <w:keepNext/>
      <w:keepLines/>
      <w:spacing w:after="50" w:afterLines="50"/>
      <w:jc w:val="center"/>
      <w:outlineLvl w:val="0"/>
    </w:pPr>
    <w:rPr>
      <w:rFonts w:eastAsia="方正小标宋简体"/>
      <w:bCs/>
      <w:kern w:val="44"/>
      <w:sz w:val="32"/>
      <w:szCs w:val="44"/>
    </w:rPr>
  </w:style>
  <w:style w:type="paragraph" w:styleId="3">
    <w:name w:val="heading 2"/>
    <w:basedOn w:val="1"/>
    <w:next w:val="1"/>
    <w:link w:val="30"/>
    <w:unhideWhenUsed/>
    <w:qFormat/>
    <w:uiPriority w:val="9"/>
    <w:pPr>
      <w:keepNext/>
      <w:keepLines/>
      <w:ind w:firstLine="0" w:firstLineChars="0"/>
      <w:jc w:val="left"/>
      <w:outlineLvl w:val="1"/>
    </w:pPr>
    <w:rPr>
      <w:rFonts w:eastAsia="黑体" w:cstheme="majorBidi"/>
      <w:b/>
      <w:bCs/>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spacing w:line="240" w:lineRule="auto"/>
      <w:ind w:left="2520" w:leftChars="1200" w:firstLine="0" w:firstLineChars="0"/>
    </w:pPr>
    <w:rPr>
      <w:rFonts w:asciiTheme="minorHAnsi" w:hAnsiTheme="minorHAnsi" w:eastAsiaTheme="minorEastAsia"/>
      <w:sz w:val="21"/>
    </w:rPr>
  </w:style>
  <w:style w:type="paragraph" w:styleId="5">
    <w:name w:val="annotation text"/>
    <w:basedOn w:val="1"/>
    <w:link w:val="38"/>
    <w:semiHidden/>
    <w:unhideWhenUsed/>
    <w:qFormat/>
    <w:uiPriority w:val="99"/>
    <w:pPr>
      <w:spacing w:line="240" w:lineRule="auto"/>
      <w:ind w:firstLine="0" w:firstLineChars="0"/>
      <w:jc w:val="left"/>
    </w:pPr>
    <w:rPr>
      <w:rFonts w:asciiTheme="minorHAnsi" w:hAnsiTheme="minorHAnsi" w:eastAsiaTheme="minorEastAsia"/>
      <w:sz w:val="21"/>
    </w:rPr>
  </w:style>
  <w:style w:type="paragraph" w:styleId="6">
    <w:name w:val="Salutation"/>
    <w:basedOn w:val="1"/>
    <w:next w:val="1"/>
    <w:qFormat/>
    <w:uiPriority w:val="0"/>
    <w:pPr>
      <w:widowControl w:val="0"/>
      <w:jc w:val="both"/>
    </w:pPr>
    <w:rPr>
      <w:kern w:val="2"/>
      <w:sz w:val="21"/>
      <w:lang w:eastAsia="zh-CN"/>
    </w:rPr>
  </w:style>
  <w:style w:type="paragraph" w:styleId="7">
    <w:name w:val="Body Text"/>
    <w:basedOn w:val="1"/>
    <w:link w:val="37"/>
    <w:semiHidden/>
    <w:unhideWhenUsed/>
    <w:qFormat/>
    <w:uiPriority w:val="99"/>
    <w:pPr>
      <w:spacing w:after="120"/>
    </w:pPr>
  </w:style>
  <w:style w:type="paragraph" w:styleId="8">
    <w:name w:val="Body Text Indent"/>
    <w:basedOn w:val="1"/>
    <w:link w:val="33"/>
    <w:qFormat/>
    <w:uiPriority w:val="0"/>
    <w:pPr>
      <w:spacing w:line="312" w:lineRule="auto"/>
      <w:ind w:firstLine="426" w:firstLineChars="0"/>
    </w:pPr>
    <w:rPr>
      <w:rFonts w:cs="Times New Roman"/>
      <w:sz w:val="21"/>
      <w:szCs w:val="24"/>
    </w:rPr>
  </w:style>
  <w:style w:type="paragraph" w:styleId="9">
    <w:name w:val="toc 5"/>
    <w:basedOn w:val="1"/>
    <w:next w:val="1"/>
    <w:unhideWhenUsed/>
    <w:qFormat/>
    <w:uiPriority w:val="39"/>
    <w:pPr>
      <w:spacing w:line="240" w:lineRule="auto"/>
      <w:ind w:left="1680" w:leftChars="800" w:firstLine="0" w:firstLineChars="0"/>
    </w:pPr>
    <w:rPr>
      <w:rFonts w:asciiTheme="minorHAnsi" w:hAnsiTheme="minorHAnsi" w:eastAsiaTheme="minorEastAsia"/>
      <w:sz w:val="21"/>
    </w:rPr>
  </w:style>
  <w:style w:type="paragraph" w:styleId="10">
    <w:name w:val="toc 3"/>
    <w:basedOn w:val="1"/>
    <w:next w:val="1"/>
    <w:unhideWhenUsed/>
    <w:qFormat/>
    <w:uiPriority w:val="39"/>
    <w:pPr>
      <w:spacing w:line="240" w:lineRule="auto"/>
      <w:ind w:left="840" w:leftChars="400" w:firstLine="0" w:firstLineChars="0"/>
    </w:pPr>
    <w:rPr>
      <w:rFonts w:asciiTheme="minorHAnsi" w:hAnsiTheme="minorHAnsi" w:eastAsiaTheme="minorEastAsia"/>
      <w:sz w:val="21"/>
    </w:rPr>
  </w:style>
  <w:style w:type="paragraph" w:styleId="11">
    <w:name w:val="toc 8"/>
    <w:basedOn w:val="1"/>
    <w:next w:val="1"/>
    <w:unhideWhenUsed/>
    <w:qFormat/>
    <w:uiPriority w:val="39"/>
    <w:pPr>
      <w:spacing w:line="240" w:lineRule="auto"/>
      <w:ind w:left="2940" w:leftChars="1400" w:firstLine="0" w:firstLineChars="0"/>
    </w:pPr>
    <w:rPr>
      <w:rFonts w:asciiTheme="minorHAnsi" w:hAnsiTheme="minorHAnsi" w:eastAsiaTheme="minorEastAsia"/>
      <w:sz w:val="21"/>
    </w:rPr>
  </w:style>
  <w:style w:type="paragraph" w:styleId="12">
    <w:name w:val="Balloon Text"/>
    <w:basedOn w:val="1"/>
    <w:link w:val="31"/>
    <w:semiHidden/>
    <w:unhideWhenUsed/>
    <w:qFormat/>
    <w:uiPriority w:val="99"/>
    <w:pPr>
      <w:spacing w:line="240" w:lineRule="auto"/>
    </w:pPr>
    <w:rPr>
      <w:sz w:val="18"/>
      <w:szCs w:val="18"/>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4"/>
    <w:basedOn w:val="1"/>
    <w:next w:val="1"/>
    <w:unhideWhenUsed/>
    <w:qFormat/>
    <w:uiPriority w:val="39"/>
    <w:pPr>
      <w:spacing w:line="240" w:lineRule="auto"/>
      <w:ind w:left="1260" w:leftChars="600" w:firstLine="0" w:firstLineChars="0"/>
    </w:pPr>
    <w:rPr>
      <w:rFonts w:asciiTheme="minorHAnsi" w:hAnsiTheme="minorHAnsi" w:eastAsiaTheme="minorEastAsia"/>
      <w:sz w:val="21"/>
    </w:rPr>
  </w:style>
  <w:style w:type="paragraph" w:styleId="17">
    <w:name w:val="toc 6"/>
    <w:basedOn w:val="1"/>
    <w:next w:val="1"/>
    <w:unhideWhenUsed/>
    <w:qFormat/>
    <w:uiPriority w:val="39"/>
    <w:pPr>
      <w:spacing w:line="240" w:lineRule="auto"/>
      <w:ind w:left="2100" w:leftChars="1000" w:firstLine="0" w:firstLineChars="0"/>
    </w:pPr>
    <w:rPr>
      <w:rFonts w:asciiTheme="minorHAnsi" w:hAnsiTheme="minorHAnsi" w:eastAsiaTheme="minorEastAsia"/>
      <w:sz w:val="21"/>
    </w:rPr>
  </w:style>
  <w:style w:type="paragraph" w:styleId="18">
    <w:name w:val="toc 2"/>
    <w:basedOn w:val="1"/>
    <w:next w:val="1"/>
    <w:unhideWhenUsed/>
    <w:qFormat/>
    <w:uiPriority w:val="39"/>
    <w:pPr>
      <w:ind w:left="420" w:leftChars="200"/>
    </w:pPr>
  </w:style>
  <w:style w:type="paragraph" w:styleId="19">
    <w:name w:val="toc 9"/>
    <w:basedOn w:val="1"/>
    <w:next w:val="1"/>
    <w:unhideWhenUsed/>
    <w:qFormat/>
    <w:uiPriority w:val="39"/>
    <w:pPr>
      <w:spacing w:line="240" w:lineRule="auto"/>
      <w:ind w:left="3360" w:leftChars="1600" w:firstLine="0" w:firstLineChars="0"/>
    </w:pPr>
    <w:rPr>
      <w:rFonts w:asciiTheme="minorHAnsi" w:hAnsiTheme="minorHAnsi" w:eastAsiaTheme="minorEastAsia"/>
      <w:sz w:val="21"/>
    </w:rPr>
  </w:style>
  <w:style w:type="paragraph" w:styleId="20">
    <w:name w:val="Normal (Web)"/>
    <w:basedOn w:val="1"/>
    <w:qFormat/>
    <w:uiPriority w:val="99"/>
    <w:pPr>
      <w:spacing w:beforeAutospacing="1" w:afterAutospacing="1" w:line="240" w:lineRule="auto"/>
      <w:ind w:firstLine="0" w:firstLineChars="0"/>
      <w:jc w:val="left"/>
    </w:pPr>
    <w:rPr>
      <w:rFonts w:cs="Times New Roman" w:asciiTheme="minorHAnsi" w:hAnsiTheme="minorHAnsi" w:eastAsiaTheme="minorEastAsia"/>
      <w:kern w:val="0"/>
    </w:rPr>
  </w:style>
  <w:style w:type="paragraph" w:styleId="21">
    <w:name w:val="Title"/>
    <w:basedOn w:val="1"/>
    <w:next w:val="1"/>
    <w:link w:val="39"/>
    <w:qFormat/>
    <w:uiPriority w:val="0"/>
    <w:pPr>
      <w:spacing w:before="240" w:after="60" w:line="240" w:lineRule="auto"/>
      <w:ind w:firstLine="0" w:firstLineChars="0"/>
      <w:jc w:val="center"/>
      <w:outlineLvl w:val="0"/>
    </w:pPr>
    <w:rPr>
      <w:rFonts w:ascii="Cambria" w:hAnsi="Cambria" w:cs="黑体"/>
      <w:b/>
      <w:bCs/>
      <w:sz w:val="32"/>
      <w:szCs w:val="32"/>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basedOn w:val="24"/>
    <w:unhideWhenUsed/>
    <w:qFormat/>
    <w:uiPriority w:val="99"/>
    <w:rPr>
      <w:color w:val="0563C1" w:themeColor="hyperlink"/>
      <w:u w:val="single"/>
      <w14:textFill>
        <w14:solidFill>
          <w14:schemeClr w14:val="hlink"/>
        </w14:solidFill>
      </w14:textFill>
    </w:rPr>
  </w:style>
  <w:style w:type="character" w:customStyle="1" w:styleId="27">
    <w:name w:val="页眉 字符"/>
    <w:basedOn w:val="24"/>
    <w:link w:val="14"/>
    <w:qFormat/>
    <w:uiPriority w:val="99"/>
    <w:rPr>
      <w:sz w:val="18"/>
      <w:szCs w:val="18"/>
    </w:rPr>
  </w:style>
  <w:style w:type="character" w:customStyle="1" w:styleId="28">
    <w:name w:val="页脚 字符"/>
    <w:basedOn w:val="24"/>
    <w:link w:val="13"/>
    <w:qFormat/>
    <w:uiPriority w:val="99"/>
    <w:rPr>
      <w:sz w:val="18"/>
      <w:szCs w:val="18"/>
    </w:rPr>
  </w:style>
  <w:style w:type="character" w:customStyle="1" w:styleId="29">
    <w:name w:val="标题 1 字符"/>
    <w:basedOn w:val="24"/>
    <w:link w:val="2"/>
    <w:qFormat/>
    <w:uiPriority w:val="9"/>
    <w:rPr>
      <w:rFonts w:ascii="Times New Roman" w:hAnsi="Times New Roman" w:eastAsia="方正小标宋简体"/>
      <w:bCs/>
      <w:kern w:val="44"/>
      <w:sz w:val="32"/>
      <w:szCs w:val="44"/>
    </w:rPr>
  </w:style>
  <w:style w:type="character" w:customStyle="1" w:styleId="30">
    <w:name w:val="标题 2 字符"/>
    <w:basedOn w:val="24"/>
    <w:link w:val="3"/>
    <w:qFormat/>
    <w:uiPriority w:val="9"/>
    <w:rPr>
      <w:rFonts w:ascii="Times New Roman" w:hAnsi="Times New Roman" w:eastAsia="黑体" w:cstheme="majorBidi"/>
      <w:b/>
      <w:bCs/>
      <w:sz w:val="24"/>
      <w:szCs w:val="32"/>
    </w:rPr>
  </w:style>
  <w:style w:type="character" w:customStyle="1" w:styleId="31">
    <w:name w:val="批注框文本 字符"/>
    <w:basedOn w:val="24"/>
    <w:link w:val="12"/>
    <w:semiHidden/>
    <w:qFormat/>
    <w:uiPriority w:val="99"/>
    <w:rPr>
      <w:rFonts w:ascii="Times New Roman" w:hAnsi="Times New Roman" w:eastAsia="宋体"/>
      <w:sz w:val="18"/>
      <w:szCs w:val="18"/>
    </w:rPr>
  </w:style>
  <w:style w:type="paragraph" w:customStyle="1" w:styleId="32">
    <w:name w:val="Default"/>
    <w:qFormat/>
    <w:uiPriority w:val="0"/>
    <w:pPr>
      <w:widowControl w:val="0"/>
      <w:autoSpaceDE w:val="0"/>
      <w:autoSpaceDN w:val="0"/>
      <w:adjustRightInd w:val="0"/>
    </w:pPr>
    <w:rPr>
      <w:rFonts w:ascii="华文仿宋" w:hAnsi="Calibri" w:eastAsia="华文仿宋" w:cs="华文仿宋"/>
      <w:color w:val="000000"/>
      <w:kern w:val="0"/>
      <w:sz w:val="24"/>
      <w:szCs w:val="24"/>
      <w:lang w:val="en-US" w:eastAsia="zh-CN" w:bidi="ar-SA"/>
    </w:rPr>
  </w:style>
  <w:style w:type="character" w:customStyle="1" w:styleId="33">
    <w:name w:val="正文文本缩进 字符"/>
    <w:basedOn w:val="24"/>
    <w:link w:val="8"/>
    <w:qFormat/>
    <w:uiPriority w:val="0"/>
    <w:rPr>
      <w:rFonts w:ascii="Times New Roman" w:hAnsi="Times New Roman" w:eastAsia="宋体" w:cs="Times New Roman"/>
      <w:szCs w:val="24"/>
    </w:rPr>
  </w:style>
  <w:style w:type="paragraph" w:styleId="34">
    <w:name w:val="List Paragraph"/>
    <w:basedOn w:val="1"/>
    <w:qFormat/>
    <w:uiPriority w:val="34"/>
    <w:pPr>
      <w:spacing w:line="240" w:lineRule="auto"/>
      <w:ind w:firstLine="420"/>
    </w:pPr>
    <w:rPr>
      <w:rFonts w:asciiTheme="minorHAnsi" w:hAnsiTheme="minorHAnsi" w:eastAsiaTheme="minorEastAsia"/>
      <w:sz w:val="21"/>
    </w:rPr>
  </w:style>
  <w:style w:type="paragraph" w:styleId="35">
    <w:name w:val="No Spacing"/>
    <w:qFormat/>
    <w:uiPriority w:val="1"/>
    <w:pPr>
      <w:widowControl w:val="0"/>
      <w:ind w:firstLine="200" w:firstLineChars="200"/>
      <w:jc w:val="both"/>
    </w:pPr>
    <w:rPr>
      <w:rFonts w:ascii="Times New Roman" w:hAnsi="Times New Roman" w:eastAsia="宋体" w:cstheme="minorBidi"/>
      <w:kern w:val="2"/>
      <w:sz w:val="24"/>
      <w:szCs w:val="22"/>
      <w:lang w:val="en-US" w:eastAsia="zh-CN" w:bidi="ar-SA"/>
    </w:rPr>
  </w:style>
  <w:style w:type="paragraph" w:customStyle="1" w:styleId="36">
    <w:name w:val="TOC Heading"/>
    <w:basedOn w:val="2"/>
    <w:next w:val="1"/>
    <w:unhideWhenUsed/>
    <w:qFormat/>
    <w:uiPriority w:val="39"/>
    <w:pPr>
      <w:widowControl/>
      <w:spacing w:before="240" w:after="0" w:afterLines="0" w:line="259" w:lineRule="auto"/>
      <w:ind w:firstLine="0" w:firstLineChars="0"/>
      <w:jc w:val="left"/>
      <w:outlineLvl w:val="9"/>
    </w:pPr>
    <w:rPr>
      <w:rFonts w:asciiTheme="majorHAnsi" w:hAnsiTheme="majorHAnsi" w:eastAsiaTheme="majorEastAsia" w:cstheme="majorBidi"/>
      <w:bCs w:val="0"/>
      <w:color w:val="2E75B6" w:themeColor="accent1" w:themeShade="BF"/>
      <w:kern w:val="0"/>
      <w:szCs w:val="32"/>
    </w:rPr>
  </w:style>
  <w:style w:type="character" w:customStyle="1" w:styleId="37">
    <w:name w:val="正文文本 字符"/>
    <w:basedOn w:val="24"/>
    <w:link w:val="7"/>
    <w:semiHidden/>
    <w:qFormat/>
    <w:uiPriority w:val="99"/>
    <w:rPr>
      <w:rFonts w:ascii="Times New Roman" w:hAnsi="Times New Roman" w:eastAsia="宋体"/>
      <w:sz w:val="24"/>
    </w:rPr>
  </w:style>
  <w:style w:type="character" w:customStyle="1" w:styleId="38">
    <w:name w:val="批注文字 字符"/>
    <w:basedOn w:val="24"/>
    <w:link w:val="5"/>
    <w:semiHidden/>
    <w:qFormat/>
    <w:uiPriority w:val="99"/>
  </w:style>
  <w:style w:type="character" w:customStyle="1" w:styleId="39">
    <w:name w:val="标题 字符"/>
    <w:basedOn w:val="24"/>
    <w:link w:val="21"/>
    <w:qFormat/>
    <w:uiPriority w:val="0"/>
    <w:rPr>
      <w:rFonts w:ascii="Cambria" w:hAnsi="Cambria" w:eastAsia="宋体" w:cs="黑体"/>
      <w:b/>
      <w:bCs/>
      <w:sz w:val="32"/>
      <w:szCs w:val="32"/>
    </w:rPr>
  </w:style>
  <w:style w:type="table" w:customStyle="1" w:styleId="40">
    <w:name w:val="表样式"/>
    <w:basedOn w:val="22"/>
    <w:qFormat/>
    <w:uiPriority w:val="0"/>
    <w:pPr>
      <w:jc w:val="both"/>
    </w:pPr>
    <w:rPr>
      <w:rFonts w:ascii="Times New Roman" w:hAnsi="Times New Roman" w:eastAsia="宋体" w:cs="Times New Roman"/>
      <w:kern w:val="0"/>
      <w:sz w:val="1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shd w:val="clear" w:color="auto" w:fill="auto"/>
      <w:vAlign w:val="center"/>
    </w:tc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599223-DF7E-44B7-8567-2471F702A9D2}">
  <ds:schemaRefs/>
</ds:datastoreItem>
</file>

<file path=docProps/app.xml><?xml version="1.0" encoding="utf-8"?>
<Properties xmlns="http://schemas.openxmlformats.org/officeDocument/2006/extended-properties" xmlns:vt="http://schemas.openxmlformats.org/officeDocument/2006/docPropsVTypes">
  <Template>Normal</Template>
  <Pages>11</Pages>
  <Words>12502</Words>
  <Characters>12988</Characters>
  <Lines>489</Lines>
  <Paragraphs>137</Paragraphs>
  <TotalTime>2</TotalTime>
  <ScaleCrop>false</ScaleCrop>
  <LinksUpToDate>false</LinksUpToDate>
  <CharactersWithSpaces>13240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2019-07-04T06:52:00Z</dcterms:created>
  <dc:creator>user</dc:creator>
  <cp:lastModifiedBy>戴易东</cp:lastModifiedBy>
  <cp:lastPrinted>2020-10-15T08:01:00Z</cp:lastPrinted>
  <dcterms:modified xsi:type="dcterms:W3CDTF">2025-10-23T03:50:44Z</dcterms:modified>
  <cp:revision>334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A3C7A0A1DD5F47D6AE1349299B54B379_13</vt:lpwstr>
  </property>
  <property fmtid="{D5CDD505-2E9C-101B-9397-08002B2CF9AE}" pid="4" name="KSOTemplateDocerSaveRecord">
    <vt:lpwstr>eyJoZGlkIjoiOWM5M2MxMTRiYmJkMDVmYTk1MmNiMzllM2RlZWMyYjIiLCJ1c2VySWQiOiIxOTc4NTU3NDgifQ==</vt:lpwstr>
  </property>
</Properties>
</file>