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rsidTr="000F33B2">
        <w:trPr>
          <w:trHeight w:val="685"/>
        </w:trPr>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shd w:val="clear" w:color="auto" w:fill="auto"/>
            <w:noWrap/>
            <w:vAlign w:val="center"/>
            <w:hideMark/>
          </w:tcPr>
          <w:p w:rsidR="000F33B2" w:rsidRPr="003F7766" w:rsidRDefault="00AF7E26"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赖雪梅</w:t>
            </w:r>
          </w:p>
        </w:tc>
        <w:tc>
          <w:tcPr>
            <w:tcW w:w="1834" w:type="dxa"/>
            <w:tcBorders>
              <w:top w:val="single" w:sz="4" w:space="0" w:color="auto"/>
              <w:left w:val="nil"/>
              <w:bottom w:val="single" w:sz="4" w:space="0" w:color="auto"/>
              <w:right w:val="single" w:sz="4" w:space="0" w:color="auto"/>
            </w:tcBorders>
            <w:shd w:val="clear" w:color="auto" w:fill="auto"/>
            <w:noWrap/>
            <w:vAlign w:val="center"/>
            <w:hideMark/>
          </w:tcPr>
          <w:p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shd w:val="clear" w:color="auto" w:fill="auto"/>
            <w:noWrap/>
            <w:vAlign w:val="center"/>
            <w:hideMark/>
          </w:tcPr>
          <w:p w:rsidR="000F33B2" w:rsidRPr="003F7766" w:rsidRDefault="00AF7E26" w:rsidP="000F33B2">
            <w:pPr>
              <w:widowControl/>
              <w:jc w:val="left"/>
              <w:rPr>
                <w:rFonts w:ascii="宋体" w:eastAsia="宋体" w:hAnsi="宋体" w:cs="宋体"/>
                <w:color w:val="000000"/>
                <w:kern w:val="0"/>
                <w:sz w:val="24"/>
                <w:szCs w:val="24"/>
              </w:rPr>
            </w:pPr>
            <w:r w:rsidRPr="00913C51">
              <w:rPr>
                <w:rFonts w:ascii="宋体" w:eastAsia="宋体" w:hAnsi="宋体" w:cs="宋体" w:hint="eastAsia"/>
                <w:b/>
                <w:color w:val="000000"/>
                <w:kern w:val="0"/>
                <w:sz w:val="28"/>
                <w:szCs w:val="28"/>
              </w:rPr>
              <w:t>聂佳佳</w:t>
            </w:r>
          </w:p>
        </w:tc>
      </w:tr>
      <w:tr w:rsidR="000F33B2" w:rsidRPr="003F7766" w:rsidTr="000F33B2">
        <w:trPr>
          <w:trHeight w:val="678"/>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shd w:val="clear" w:color="auto" w:fill="auto"/>
            <w:noWrap/>
            <w:vAlign w:val="center"/>
            <w:hideMark/>
          </w:tcPr>
          <w:p w:rsidR="000F33B2" w:rsidRPr="003F7766" w:rsidRDefault="00AF7E26"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管理科学与工程</w:t>
            </w:r>
          </w:p>
        </w:tc>
        <w:tc>
          <w:tcPr>
            <w:tcW w:w="1834" w:type="dxa"/>
            <w:tcBorders>
              <w:top w:val="nil"/>
              <w:left w:val="nil"/>
              <w:bottom w:val="single" w:sz="4" w:space="0" w:color="auto"/>
              <w:right w:val="single" w:sz="4" w:space="0" w:color="auto"/>
            </w:tcBorders>
            <w:shd w:val="clear" w:color="auto" w:fill="auto"/>
            <w:noWrap/>
            <w:vAlign w:val="center"/>
            <w:hideMark/>
          </w:tcPr>
          <w:p w:rsidR="000F33B2" w:rsidRPr="003F7766" w:rsidRDefault="000F33B2" w:rsidP="000F33B2">
            <w:pPr>
              <w:widowControl/>
              <w:jc w:val="left"/>
              <w:rPr>
                <w:rFonts w:ascii="宋体" w:eastAsia="宋体" w:hAnsi="宋体" w:cs="宋体"/>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shd w:val="clear" w:color="auto" w:fill="auto"/>
            <w:noWrap/>
            <w:vAlign w:val="center"/>
            <w:hideMark/>
          </w:tcPr>
          <w:p w:rsidR="000F33B2" w:rsidRPr="003F7766" w:rsidRDefault="00AF7E26" w:rsidP="000F33B2">
            <w:pPr>
              <w:widowControl/>
              <w:jc w:val="left"/>
              <w:rPr>
                <w:rFonts w:ascii="宋体" w:eastAsia="宋体" w:hAnsi="宋体" w:cs="宋体"/>
                <w:color w:val="000000"/>
                <w:kern w:val="0"/>
                <w:sz w:val="24"/>
                <w:szCs w:val="24"/>
              </w:rPr>
            </w:pPr>
            <w:r w:rsidRPr="00913C51">
              <w:rPr>
                <w:rFonts w:ascii="宋体" w:eastAsia="宋体" w:hAnsi="宋体" w:cs="宋体" w:hint="eastAsia"/>
                <w:b/>
                <w:color w:val="000000"/>
                <w:kern w:val="0"/>
                <w:sz w:val="28"/>
                <w:szCs w:val="28"/>
              </w:rPr>
              <w:t>供应链管理</w:t>
            </w:r>
          </w:p>
        </w:tc>
      </w:tr>
      <w:tr w:rsidR="000F33B2" w:rsidRPr="003F7766" w:rsidTr="000F33B2">
        <w:trPr>
          <w:trHeight w:val="678"/>
        </w:trPr>
        <w:tc>
          <w:tcPr>
            <w:tcW w:w="1582" w:type="dxa"/>
            <w:tcBorders>
              <w:top w:val="nil"/>
              <w:left w:val="single" w:sz="4" w:space="0" w:color="auto"/>
              <w:bottom w:val="single" w:sz="4" w:space="0" w:color="auto"/>
              <w:right w:val="single" w:sz="4" w:space="0" w:color="auto"/>
            </w:tcBorders>
            <w:shd w:val="clear" w:color="auto" w:fill="auto"/>
            <w:noWrap/>
            <w:vAlign w:val="center"/>
            <w:hideMark/>
          </w:tcPr>
          <w:p w:rsidR="000F33B2" w:rsidRPr="003F7766" w:rsidRDefault="000F33B2"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shd w:val="clear" w:color="auto" w:fill="auto"/>
            <w:noWrap/>
            <w:vAlign w:val="center"/>
            <w:hideMark/>
          </w:tcPr>
          <w:p w:rsidR="000F33B2" w:rsidRPr="003F7766" w:rsidRDefault="00AF7E26" w:rsidP="000F33B2">
            <w:pPr>
              <w:widowControl/>
              <w:jc w:val="left"/>
              <w:rPr>
                <w:rFonts w:ascii="宋体" w:eastAsia="宋体" w:hAnsi="宋体" w:cs="宋体"/>
                <w:color w:val="000000"/>
                <w:kern w:val="0"/>
                <w:sz w:val="24"/>
                <w:szCs w:val="24"/>
              </w:rPr>
            </w:pPr>
            <w:bookmarkStart w:id="0" w:name="OLE_LINK655"/>
            <w:bookmarkStart w:id="1" w:name="OLE_LINK656"/>
            <w:bookmarkStart w:id="2" w:name="OLE_LINK657"/>
            <w:bookmarkStart w:id="3" w:name="OLE_LINK223"/>
            <w:bookmarkStart w:id="4" w:name="OLE_LINK224"/>
            <w:r w:rsidRPr="00913C51">
              <w:rPr>
                <w:rFonts w:ascii="宋体" w:eastAsia="宋体" w:hAnsi="宋体" w:cs="宋体" w:hint="eastAsia"/>
                <w:b/>
                <w:color w:val="000000"/>
                <w:kern w:val="0"/>
                <w:sz w:val="28"/>
                <w:szCs w:val="28"/>
              </w:rPr>
              <w:t>“线上+线下”混合渠道下制造商在线销售模式选择研究</w:t>
            </w:r>
            <w:bookmarkEnd w:id="0"/>
            <w:bookmarkEnd w:id="1"/>
            <w:bookmarkEnd w:id="2"/>
            <w:bookmarkEnd w:id="3"/>
            <w:bookmarkEnd w:id="4"/>
          </w:p>
        </w:tc>
      </w:tr>
      <w:tr w:rsidR="000F33B2" w:rsidRPr="003F7766"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33B2" w:rsidRPr="003F7766" w:rsidRDefault="000F33B2" w:rsidP="000F33B2">
            <w:pPr>
              <w:widowControl/>
              <w:jc w:val="center"/>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43473" w:rsidRPr="00143473" w:rsidRDefault="00143473" w:rsidP="00143473">
            <w:pPr>
              <w:adjustRightInd w:val="0"/>
              <w:snapToGrid w:val="0"/>
              <w:ind w:firstLineChars="200" w:firstLine="480"/>
              <w:rPr>
                <w:rFonts w:ascii="Times New Roman" w:eastAsia="宋体" w:hAnsi="Times New Roman" w:cs="Times New Roman"/>
                <w:sz w:val="24"/>
                <w:szCs w:val="24"/>
              </w:rPr>
            </w:pPr>
            <w:bookmarkStart w:id="5" w:name="_Hlk167553592"/>
            <w:bookmarkStart w:id="6" w:name="OLE_LINK349"/>
            <w:bookmarkStart w:id="7" w:name="OLE_LINK350"/>
            <w:r w:rsidRPr="00143473">
              <w:rPr>
                <w:rFonts w:ascii="Times New Roman" w:eastAsia="宋体" w:hAnsi="Times New Roman" w:cs="Times New Roman" w:hint="eastAsia"/>
                <w:sz w:val="24"/>
                <w:szCs w:val="24"/>
              </w:rPr>
              <w:t>随着电子商务</w:t>
            </w:r>
            <w:r w:rsidRPr="00143473">
              <w:rPr>
                <w:rFonts w:ascii="Times New Roman" w:eastAsia="宋体" w:hAnsi="Times New Roman" w:cs="Times New Roman"/>
                <w:sz w:val="24"/>
                <w:szCs w:val="24"/>
              </w:rPr>
              <w:t>的蓬勃发展</w:t>
            </w:r>
            <w:r w:rsidRPr="00143473">
              <w:rPr>
                <w:rFonts w:ascii="Times New Roman" w:eastAsia="宋体" w:hAnsi="Times New Roman" w:cs="Times New Roman" w:hint="eastAsia"/>
                <w:sz w:val="24"/>
                <w:szCs w:val="24"/>
              </w:rPr>
              <w:t>，越来越多的制造商开始在原有线下实体零售商渠道的基础上</w:t>
            </w:r>
            <w:r w:rsidRPr="00143473">
              <w:rPr>
                <w:rFonts w:ascii="Times New Roman" w:eastAsia="宋体" w:hAnsi="Times New Roman" w:cs="Times New Roman"/>
                <w:sz w:val="24"/>
                <w:szCs w:val="24"/>
              </w:rPr>
              <w:t>开辟一条线上电商渠道</w:t>
            </w:r>
            <w:r w:rsidRPr="00143473">
              <w:rPr>
                <w:rFonts w:ascii="Times New Roman" w:eastAsia="宋体" w:hAnsi="Times New Roman" w:cs="Times New Roman" w:hint="eastAsia"/>
                <w:sz w:val="24"/>
                <w:szCs w:val="24"/>
              </w:rPr>
              <w:t>，并逐渐形成了线下实体零售商渠道与线上电</w:t>
            </w:r>
            <w:proofErr w:type="gramStart"/>
            <w:r w:rsidRPr="00143473">
              <w:rPr>
                <w:rFonts w:ascii="Times New Roman" w:eastAsia="宋体" w:hAnsi="Times New Roman" w:cs="Times New Roman" w:hint="eastAsia"/>
                <w:sz w:val="24"/>
                <w:szCs w:val="24"/>
              </w:rPr>
              <w:t>商渠道</w:t>
            </w:r>
            <w:proofErr w:type="gramEnd"/>
            <w:r w:rsidRPr="00143473">
              <w:rPr>
                <w:rFonts w:ascii="Times New Roman" w:eastAsia="宋体" w:hAnsi="Times New Roman" w:cs="Times New Roman" w:hint="eastAsia"/>
                <w:sz w:val="24"/>
                <w:szCs w:val="24"/>
              </w:rPr>
              <w:t>并存的混合</w:t>
            </w:r>
            <w:proofErr w:type="gramStart"/>
            <w:r w:rsidRPr="00143473">
              <w:rPr>
                <w:rFonts w:ascii="Times New Roman" w:eastAsia="宋体" w:hAnsi="Times New Roman" w:cs="Times New Roman" w:hint="eastAsia"/>
                <w:sz w:val="24"/>
                <w:szCs w:val="24"/>
              </w:rPr>
              <w:t>双渠道</w:t>
            </w:r>
            <w:proofErr w:type="gramEnd"/>
            <w:r w:rsidRPr="00143473">
              <w:rPr>
                <w:rFonts w:ascii="Times New Roman" w:eastAsia="宋体" w:hAnsi="Times New Roman" w:cs="Times New Roman" w:hint="eastAsia"/>
                <w:sz w:val="24"/>
                <w:szCs w:val="24"/>
              </w:rPr>
              <w:t>结构。</w:t>
            </w:r>
            <w:bookmarkStart w:id="8" w:name="OLE_LINK889"/>
            <w:bookmarkStart w:id="9" w:name="OLE_LINK890"/>
            <w:r w:rsidRPr="00143473">
              <w:rPr>
                <w:rFonts w:ascii="Times New Roman" w:eastAsia="宋体" w:hAnsi="Times New Roman" w:cs="Times New Roman"/>
                <w:sz w:val="24"/>
                <w:szCs w:val="24"/>
              </w:rPr>
              <w:t>制造商在电商平台上销售产品面临</w:t>
            </w:r>
            <w:r w:rsidRPr="00143473">
              <w:rPr>
                <w:rFonts w:ascii="Times New Roman" w:eastAsia="宋体" w:hAnsi="Times New Roman" w:cs="Times New Roman"/>
                <w:bCs/>
                <w:sz w:val="24"/>
                <w:szCs w:val="24"/>
              </w:rPr>
              <w:t>转销</w:t>
            </w:r>
            <w:r w:rsidRPr="00143473">
              <w:rPr>
                <w:rFonts w:ascii="Times New Roman" w:eastAsia="宋体" w:hAnsi="Times New Roman" w:cs="Times New Roman"/>
                <w:sz w:val="24"/>
                <w:szCs w:val="24"/>
              </w:rPr>
              <w:t>和</w:t>
            </w:r>
            <w:r w:rsidRPr="00143473">
              <w:rPr>
                <w:rFonts w:ascii="Times New Roman" w:eastAsia="宋体" w:hAnsi="Times New Roman" w:cs="Times New Roman"/>
                <w:bCs/>
                <w:sz w:val="24"/>
                <w:szCs w:val="24"/>
              </w:rPr>
              <w:t>代销</w:t>
            </w:r>
            <w:r w:rsidRPr="00143473">
              <w:rPr>
                <w:rFonts w:ascii="Times New Roman" w:eastAsia="宋体" w:hAnsi="Times New Roman" w:cs="Times New Roman"/>
                <w:sz w:val="24"/>
                <w:szCs w:val="24"/>
              </w:rPr>
              <w:t>两种销售模式的选择。</w:t>
            </w:r>
            <w:bookmarkEnd w:id="8"/>
            <w:bookmarkEnd w:id="9"/>
            <w:r w:rsidRPr="00143473">
              <w:rPr>
                <w:rFonts w:ascii="Times New Roman" w:eastAsia="宋体" w:hAnsi="Times New Roman" w:cs="Times New Roman"/>
                <w:sz w:val="24"/>
                <w:szCs w:val="24"/>
              </w:rPr>
              <w:t>该</w:t>
            </w:r>
            <w:r w:rsidRPr="00143473">
              <w:rPr>
                <w:rFonts w:ascii="Times New Roman" w:eastAsia="宋体" w:hAnsi="Times New Roman" w:cs="Times New Roman" w:hint="eastAsia"/>
                <w:sz w:val="24"/>
                <w:szCs w:val="24"/>
              </w:rPr>
              <w:t>选择</w:t>
            </w:r>
            <w:r w:rsidRPr="00143473">
              <w:rPr>
                <w:rFonts w:ascii="Times New Roman" w:eastAsia="宋体" w:hAnsi="Times New Roman" w:cs="Times New Roman"/>
                <w:sz w:val="24"/>
                <w:szCs w:val="24"/>
              </w:rPr>
              <w:t>不仅关乎短期利润，</w:t>
            </w:r>
            <w:r w:rsidRPr="00143473">
              <w:rPr>
                <w:rFonts w:ascii="Times New Roman" w:eastAsia="宋体" w:hAnsi="Times New Roman" w:cs="Times New Roman" w:hint="eastAsia"/>
                <w:sz w:val="24"/>
                <w:szCs w:val="24"/>
              </w:rPr>
              <w:t>更</w:t>
            </w:r>
            <w:r w:rsidRPr="00143473">
              <w:rPr>
                <w:rFonts w:ascii="Times New Roman" w:eastAsia="宋体" w:hAnsi="Times New Roman" w:cs="Times New Roman"/>
                <w:sz w:val="24"/>
                <w:szCs w:val="24"/>
              </w:rPr>
              <w:t>是与生产、销售、售后等供应</w:t>
            </w:r>
            <w:proofErr w:type="gramStart"/>
            <w:r w:rsidRPr="00143473">
              <w:rPr>
                <w:rFonts w:ascii="Times New Roman" w:eastAsia="宋体" w:hAnsi="Times New Roman" w:cs="Times New Roman"/>
                <w:sz w:val="24"/>
                <w:szCs w:val="24"/>
              </w:rPr>
              <w:t>链核心</w:t>
            </w:r>
            <w:proofErr w:type="gramEnd"/>
            <w:r w:rsidRPr="00143473">
              <w:rPr>
                <w:rFonts w:ascii="Times New Roman" w:eastAsia="宋体" w:hAnsi="Times New Roman" w:cs="Times New Roman"/>
                <w:sz w:val="24"/>
                <w:szCs w:val="24"/>
              </w:rPr>
              <w:t>环节紧密相连的战略性安排。因此</w:t>
            </w:r>
            <w:r w:rsidRPr="00143473">
              <w:rPr>
                <w:rFonts w:ascii="Times New Roman" w:eastAsia="宋体" w:hAnsi="Times New Roman" w:cs="Times New Roman" w:hint="eastAsia"/>
                <w:sz w:val="24"/>
                <w:szCs w:val="24"/>
              </w:rPr>
              <w:t>，</w:t>
            </w:r>
            <w:r w:rsidRPr="00143473">
              <w:rPr>
                <w:rFonts w:ascii="Times New Roman" w:eastAsia="宋体" w:hAnsi="Times New Roman" w:cs="Times New Roman"/>
                <w:sz w:val="24"/>
                <w:szCs w:val="24"/>
              </w:rPr>
              <w:t>本研究</w:t>
            </w:r>
            <w:r w:rsidRPr="00143473">
              <w:rPr>
                <w:rFonts w:ascii="Times New Roman" w:eastAsia="宋体" w:hAnsi="Times New Roman" w:cs="Times New Roman" w:hint="eastAsia"/>
                <w:sz w:val="24"/>
                <w:szCs w:val="24"/>
              </w:rPr>
              <w:t>从</w:t>
            </w:r>
            <w:r w:rsidRPr="00143473">
              <w:rPr>
                <w:rFonts w:ascii="Times New Roman" w:eastAsia="宋体" w:hAnsi="Times New Roman" w:cs="Times New Roman"/>
                <w:bCs/>
                <w:sz w:val="24"/>
                <w:szCs w:val="24"/>
              </w:rPr>
              <w:t>产品</w:t>
            </w:r>
            <w:r w:rsidRPr="00143473">
              <w:rPr>
                <w:rFonts w:ascii="Times New Roman" w:eastAsia="宋体" w:hAnsi="Times New Roman" w:cs="Times New Roman" w:hint="eastAsia"/>
                <w:bCs/>
                <w:sz w:val="24"/>
                <w:szCs w:val="24"/>
              </w:rPr>
              <w:t>流通</w:t>
            </w:r>
            <w:r w:rsidRPr="00143473">
              <w:rPr>
                <w:rFonts w:ascii="Times New Roman" w:eastAsia="宋体" w:hAnsi="Times New Roman" w:cs="Times New Roman"/>
                <w:bCs/>
                <w:sz w:val="24"/>
                <w:szCs w:val="24"/>
              </w:rPr>
              <w:t>周期的视角出发</w:t>
            </w:r>
            <w:r w:rsidRPr="00143473">
              <w:rPr>
                <w:rFonts w:ascii="Times New Roman" w:eastAsia="宋体" w:hAnsi="Times New Roman" w:cs="Times New Roman"/>
                <w:sz w:val="24"/>
                <w:szCs w:val="24"/>
              </w:rPr>
              <w:t>，聚焦于</w:t>
            </w:r>
            <w:r w:rsidRPr="00143473">
              <w:rPr>
                <w:rFonts w:ascii="Times New Roman" w:eastAsia="宋体" w:hAnsi="Times New Roman" w:cs="Times New Roman"/>
                <w:bCs/>
                <w:sz w:val="24"/>
                <w:szCs w:val="24"/>
              </w:rPr>
              <w:t>高价值、高不确定性、强信息</w:t>
            </w:r>
            <w:r w:rsidRPr="00143473">
              <w:rPr>
                <w:rFonts w:ascii="Times New Roman" w:eastAsia="宋体" w:hAnsi="Times New Roman" w:cs="Times New Roman" w:hint="eastAsia"/>
                <w:bCs/>
                <w:sz w:val="24"/>
                <w:szCs w:val="24"/>
              </w:rPr>
              <w:t>与</w:t>
            </w:r>
            <w:r w:rsidRPr="00143473">
              <w:rPr>
                <w:rFonts w:ascii="Times New Roman" w:eastAsia="宋体" w:hAnsi="Times New Roman" w:cs="Times New Roman"/>
                <w:bCs/>
                <w:sz w:val="24"/>
                <w:szCs w:val="24"/>
              </w:rPr>
              <w:t>服务依赖的</w:t>
            </w:r>
            <w:r w:rsidRPr="00143473">
              <w:rPr>
                <w:rFonts w:ascii="Times New Roman" w:eastAsia="宋体" w:hAnsi="Times New Roman" w:cs="Times New Roman"/>
                <w:bCs/>
                <w:sz w:val="24"/>
                <w:szCs w:val="24"/>
              </w:rPr>
              <w:t>3C</w:t>
            </w:r>
            <w:r w:rsidRPr="00143473">
              <w:rPr>
                <w:rFonts w:ascii="Times New Roman" w:eastAsia="宋体" w:hAnsi="Times New Roman" w:cs="Times New Roman"/>
                <w:bCs/>
                <w:sz w:val="24"/>
                <w:szCs w:val="24"/>
              </w:rPr>
              <w:t>电子产品行业</w:t>
            </w:r>
            <w:r w:rsidRPr="00143473">
              <w:rPr>
                <w:rFonts w:ascii="Times New Roman" w:eastAsia="宋体" w:hAnsi="Times New Roman" w:cs="Times New Roman"/>
                <w:sz w:val="24"/>
                <w:szCs w:val="24"/>
              </w:rPr>
              <w:t>，系统识别了产品</w:t>
            </w:r>
            <w:r w:rsidRPr="00143473">
              <w:rPr>
                <w:rFonts w:ascii="Times New Roman" w:eastAsia="宋体" w:hAnsi="Times New Roman" w:cs="Times New Roman" w:hint="eastAsia"/>
                <w:sz w:val="24"/>
                <w:szCs w:val="24"/>
              </w:rPr>
              <w:t>流通</w:t>
            </w:r>
            <w:r w:rsidRPr="00143473">
              <w:rPr>
                <w:rFonts w:ascii="Times New Roman" w:eastAsia="宋体" w:hAnsi="Times New Roman" w:cs="Times New Roman"/>
                <w:sz w:val="24"/>
                <w:szCs w:val="24"/>
              </w:rPr>
              <w:t>周期各阶段中作用</w:t>
            </w:r>
            <w:proofErr w:type="gramStart"/>
            <w:r w:rsidRPr="00143473">
              <w:rPr>
                <w:rFonts w:ascii="Times New Roman" w:eastAsia="宋体" w:hAnsi="Times New Roman" w:cs="Times New Roman"/>
                <w:sz w:val="24"/>
                <w:szCs w:val="24"/>
              </w:rPr>
              <w:t>于渠道</w:t>
            </w:r>
            <w:proofErr w:type="gramEnd"/>
            <w:r w:rsidRPr="00143473">
              <w:rPr>
                <w:rFonts w:ascii="Times New Roman" w:eastAsia="宋体" w:hAnsi="Times New Roman" w:cs="Times New Roman"/>
                <w:sz w:val="24"/>
                <w:szCs w:val="24"/>
              </w:rPr>
              <w:t>决策的</w:t>
            </w:r>
            <w:r w:rsidRPr="00143473">
              <w:rPr>
                <w:rFonts w:ascii="Times New Roman" w:eastAsia="宋体" w:hAnsi="Times New Roman" w:cs="Times New Roman" w:hint="eastAsia"/>
                <w:sz w:val="24"/>
                <w:szCs w:val="24"/>
              </w:rPr>
              <w:t>关键因素</w:t>
            </w:r>
            <w:r w:rsidRPr="00143473">
              <w:rPr>
                <w:rFonts w:ascii="Times New Roman" w:eastAsia="宋体" w:hAnsi="Times New Roman" w:cs="Times New Roman"/>
                <w:sz w:val="24"/>
                <w:szCs w:val="24"/>
              </w:rPr>
              <w:t>，构建了一个基于</w:t>
            </w:r>
            <w:r w:rsidRPr="00143473">
              <w:rPr>
                <w:rFonts w:ascii="Times New Roman" w:eastAsia="宋体" w:hAnsi="Times New Roman" w:cs="Times New Roman" w:hint="eastAsia"/>
                <w:sz w:val="24"/>
                <w:szCs w:val="24"/>
              </w:rPr>
              <w:t>“</w:t>
            </w:r>
            <w:bookmarkStart w:id="10" w:name="OLE_LINK474"/>
            <w:bookmarkStart w:id="11" w:name="OLE_LINK475"/>
            <w:r w:rsidRPr="00143473">
              <w:rPr>
                <w:rFonts w:ascii="Segoe UI" w:eastAsia="宋体" w:hAnsi="Segoe UI" w:cs="Segoe UI"/>
                <w:color w:val="0F1115"/>
                <w:sz w:val="24"/>
                <w:szCs w:val="24"/>
                <w:shd w:val="clear" w:color="auto" w:fill="FFFFFF"/>
              </w:rPr>
              <w:t>参与者行为</w:t>
            </w:r>
            <w:r w:rsidRPr="00143473">
              <w:rPr>
                <w:rFonts w:ascii="Segoe UI" w:eastAsia="宋体" w:hAnsi="Segoe UI" w:cs="Segoe UI" w:hint="eastAsia"/>
                <w:color w:val="0F1115"/>
                <w:sz w:val="24"/>
                <w:szCs w:val="24"/>
                <w:shd w:val="clear" w:color="auto" w:fill="FFFFFF"/>
              </w:rPr>
              <w:t>、</w:t>
            </w:r>
            <w:r w:rsidRPr="00143473">
              <w:rPr>
                <w:rFonts w:ascii="Segoe UI" w:eastAsia="宋体" w:hAnsi="Segoe UI" w:cs="Segoe UI"/>
                <w:color w:val="0F1115"/>
                <w:sz w:val="24"/>
                <w:szCs w:val="24"/>
                <w:shd w:val="clear" w:color="auto" w:fill="FFFFFF"/>
              </w:rPr>
              <w:t>产品层面</w:t>
            </w:r>
            <w:r w:rsidRPr="00143473">
              <w:rPr>
                <w:rFonts w:ascii="Segoe UI" w:eastAsia="宋体" w:hAnsi="Segoe UI" w:cs="Segoe UI" w:hint="eastAsia"/>
                <w:color w:val="0F1115"/>
                <w:sz w:val="24"/>
                <w:szCs w:val="24"/>
                <w:shd w:val="clear" w:color="auto" w:fill="FFFFFF"/>
              </w:rPr>
              <w:t>以及</w:t>
            </w:r>
            <w:r w:rsidRPr="00143473">
              <w:rPr>
                <w:rFonts w:ascii="Segoe UI" w:eastAsia="宋体" w:hAnsi="Segoe UI" w:cs="Segoe UI"/>
                <w:color w:val="0F1115"/>
                <w:sz w:val="24"/>
                <w:szCs w:val="24"/>
                <w:shd w:val="clear" w:color="auto" w:fill="FFFFFF"/>
              </w:rPr>
              <w:t>市场层面</w:t>
            </w:r>
            <w:r w:rsidRPr="00143473">
              <w:rPr>
                <w:rFonts w:ascii="Times New Roman" w:eastAsia="宋体" w:hAnsi="Times New Roman" w:cs="Times New Roman" w:hint="eastAsia"/>
                <w:sz w:val="24"/>
                <w:szCs w:val="24"/>
              </w:rPr>
              <w:t>因素</w:t>
            </w:r>
            <w:bookmarkEnd w:id="10"/>
            <w:bookmarkEnd w:id="11"/>
            <w:r w:rsidRPr="00143473">
              <w:rPr>
                <w:rFonts w:ascii="Times New Roman" w:eastAsia="宋体" w:hAnsi="Times New Roman" w:cs="Times New Roman" w:hint="eastAsia"/>
                <w:sz w:val="24"/>
                <w:szCs w:val="24"/>
              </w:rPr>
              <w:t>”的</w:t>
            </w:r>
            <w:r w:rsidRPr="00143473">
              <w:rPr>
                <w:rFonts w:ascii="Times New Roman" w:eastAsia="宋体" w:hAnsi="Times New Roman" w:cs="Times New Roman"/>
                <w:sz w:val="24"/>
                <w:szCs w:val="24"/>
              </w:rPr>
              <w:t>多层次</w:t>
            </w:r>
            <w:r w:rsidRPr="00143473">
              <w:rPr>
                <w:rFonts w:ascii="Times New Roman" w:eastAsia="宋体" w:hAnsi="Times New Roman" w:cs="Times New Roman" w:hint="eastAsia"/>
                <w:sz w:val="24"/>
                <w:szCs w:val="24"/>
              </w:rPr>
              <w:t>、</w:t>
            </w:r>
            <w:r w:rsidRPr="00143473">
              <w:rPr>
                <w:rFonts w:ascii="Times New Roman" w:eastAsia="宋体" w:hAnsi="Times New Roman" w:cs="Times New Roman"/>
                <w:sz w:val="24"/>
                <w:szCs w:val="24"/>
              </w:rPr>
              <w:t>分阶段的研究体系。具体而言</w:t>
            </w:r>
            <w:r w:rsidRPr="00143473">
              <w:rPr>
                <w:rFonts w:ascii="Times New Roman" w:eastAsia="宋体" w:hAnsi="Times New Roman" w:cs="Times New Roman" w:hint="eastAsia"/>
                <w:sz w:val="24"/>
                <w:szCs w:val="24"/>
              </w:rPr>
              <w:t>，</w:t>
            </w:r>
            <w:r w:rsidRPr="00143473">
              <w:rPr>
                <w:rFonts w:ascii="Times New Roman" w:eastAsia="宋体" w:hAnsi="Times New Roman" w:cs="Times New Roman"/>
                <w:sz w:val="24"/>
                <w:szCs w:val="24"/>
              </w:rPr>
              <w:t>本文展开了以下研究</w:t>
            </w:r>
            <w:r w:rsidRPr="00143473">
              <w:rPr>
                <w:rFonts w:ascii="Times New Roman" w:eastAsia="宋体" w:hAnsi="Times New Roman" w:cs="Times New Roman" w:hint="eastAsia"/>
                <w:sz w:val="24"/>
                <w:szCs w:val="24"/>
              </w:rPr>
              <w:t>：</w:t>
            </w:r>
          </w:p>
          <w:p w:rsidR="00BA1E09" w:rsidRDefault="00143473" w:rsidP="00143473">
            <w:pPr>
              <w:adjustRightInd w:val="0"/>
              <w:snapToGrid w:val="0"/>
              <w:ind w:firstLineChars="200" w:firstLine="480"/>
              <w:rPr>
                <w:rFonts w:ascii="Times New Roman" w:eastAsia="宋体" w:hAnsi="Times New Roman" w:cs="Times New Roman" w:hint="eastAsia"/>
                <w:sz w:val="24"/>
                <w:szCs w:val="24"/>
                <w:shd w:val="clear" w:color="auto" w:fill="FDFDFD"/>
              </w:rPr>
            </w:pPr>
            <w:bookmarkStart w:id="12" w:name="OLE_LINK571"/>
            <w:bookmarkStart w:id="13" w:name="OLE_LINK572"/>
            <w:bookmarkEnd w:id="5"/>
            <w:r w:rsidRPr="00143473">
              <w:rPr>
                <w:rFonts w:ascii="宋体" w:eastAsia="宋体" w:hAnsi="宋体" w:cs="Calibri" w:hint="eastAsia"/>
                <w:sz w:val="24"/>
                <w:szCs w:val="24"/>
              </w:rPr>
              <w:t>首先，</w:t>
            </w:r>
            <w:r w:rsidRPr="00143473">
              <w:rPr>
                <w:rFonts w:ascii="Times New Roman" w:eastAsia="宋体" w:hAnsi="Times New Roman" w:cs="Times New Roman"/>
                <w:sz w:val="24"/>
                <w:szCs w:val="24"/>
                <w:shd w:val="clear" w:color="auto" w:fill="FDFDFD"/>
              </w:rPr>
              <w:t>作为本研究的基础与分析起点，一方面</w:t>
            </w:r>
            <w:r w:rsidRPr="00143473">
              <w:rPr>
                <w:rFonts w:ascii="Times New Roman" w:eastAsia="宋体" w:hAnsi="Times New Roman" w:cs="Times New Roman" w:hint="eastAsia"/>
                <w:sz w:val="24"/>
                <w:szCs w:val="24"/>
                <w:shd w:val="clear" w:color="auto" w:fill="FDFDFD"/>
              </w:rPr>
              <w:t>提出了“</w:t>
            </w:r>
            <w:r w:rsidRPr="00143473">
              <w:rPr>
                <w:rFonts w:ascii="Times New Roman" w:eastAsia="宋体" w:hAnsi="Times New Roman" w:cs="Times New Roman" w:hint="eastAsia"/>
                <w:kern w:val="0"/>
                <w:sz w:val="24"/>
                <w:szCs w:val="24"/>
                <w:shd w:val="clear" w:color="auto" w:fill="FDFDFD"/>
              </w:rPr>
              <w:t>线上</w:t>
            </w:r>
            <w:r w:rsidRPr="00143473">
              <w:rPr>
                <w:rFonts w:ascii="Times New Roman" w:eastAsia="宋体" w:hAnsi="Times New Roman" w:cs="Times New Roman"/>
                <w:kern w:val="0"/>
                <w:sz w:val="24"/>
                <w:szCs w:val="24"/>
                <w:shd w:val="clear" w:color="auto" w:fill="FDFDFD"/>
              </w:rPr>
              <w:t>+</w:t>
            </w:r>
            <w:r w:rsidRPr="00143473">
              <w:rPr>
                <w:rFonts w:ascii="Times New Roman" w:eastAsia="宋体" w:hAnsi="Times New Roman" w:cs="Times New Roman" w:hint="eastAsia"/>
                <w:kern w:val="0"/>
                <w:sz w:val="24"/>
                <w:szCs w:val="24"/>
                <w:shd w:val="clear" w:color="auto" w:fill="FDFDFD"/>
              </w:rPr>
              <w:t>线下</w:t>
            </w:r>
            <w:r w:rsidRPr="00143473">
              <w:rPr>
                <w:rFonts w:ascii="Times New Roman" w:eastAsia="宋体" w:hAnsi="Times New Roman" w:cs="Times New Roman" w:hint="eastAsia"/>
                <w:sz w:val="24"/>
                <w:szCs w:val="24"/>
                <w:shd w:val="clear" w:color="auto" w:fill="FDFDFD"/>
              </w:rPr>
              <w:t>”</w:t>
            </w:r>
            <w:r w:rsidRPr="00143473">
              <w:rPr>
                <w:rFonts w:ascii="Times New Roman" w:eastAsia="宋体" w:hAnsi="Times New Roman" w:cs="Times New Roman"/>
                <w:sz w:val="24"/>
                <w:szCs w:val="24"/>
                <w:shd w:val="clear" w:color="auto" w:fill="FDFDFD"/>
              </w:rPr>
              <w:t>混合</w:t>
            </w:r>
            <w:proofErr w:type="gramStart"/>
            <w:r w:rsidRPr="00143473">
              <w:rPr>
                <w:rFonts w:ascii="Times New Roman" w:eastAsia="宋体" w:hAnsi="Times New Roman" w:cs="Times New Roman"/>
                <w:sz w:val="24"/>
                <w:szCs w:val="24"/>
                <w:shd w:val="clear" w:color="auto" w:fill="FDFDFD"/>
              </w:rPr>
              <w:t>双渠道</w:t>
            </w:r>
            <w:proofErr w:type="gramEnd"/>
            <w:r w:rsidRPr="00143473">
              <w:rPr>
                <w:rFonts w:ascii="Times New Roman" w:eastAsia="宋体" w:hAnsi="Times New Roman" w:cs="Times New Roman"/>
                <w:sz w:val="24"/>
                <w:szCs w:val="24"/>
                <w:shd w:val="clear" w:color="auto" w:fill="FDFDFD"/>
              </w:rPr>
              <w:t>中制造商在线销售模式选择这一核心问题</w:t>
            </w:r>
            <w:r w:rsidRPr="00143473">
              <w:rPr>
                <w:rFonts w:ascii="Times New Roman" w:eastAsia="宋体" w:hAnsi="Times New Roman" w:cs="Times New Roman" w:hint="eastAsia"/>
                <w:sz w:val="24"/>
                <w:szCs w:val="24"/>
                <w:shd w:val="clear" w:color="auto" w:fill="FDFDFD"/>
              </w:rPr>
              <w:t>，为本文后续研究奠定了研究基础。</w:t>
            </w:r>
            <w:r w:rsidRPr="00143473">
              <w:rPr>
                <w:rFonts w:ascii="Times New Roman" w:eastAsia="宋体" w:hAnsi="Times New Roman" w:cs="Times New Roman"/>
                <w:sz w:val="24"/>
                <w:szCs w:val="24"/>
                <w:shd w:val="clear" w:color="auto" w:fill="FDFDFD"/>
              </w:rPr>
              <w:t>另一方面，则针对</w:t>
            </w:r>
            <w:r w:rsidRPr="00143473">
              <w:rPr>
                <w:rFonts w:ascii="Times New Roman" w:eastAsia="宋体" w:hAnsi="Times New Roman" w:cs="Times New Roman"/>
                <w:sz w:val="24"/>
                <w:szCs w:val="24"/>
                <w:shd w:val="clear" w:color="auto" w:fill="FDFDFD"/>
              </w:rPr>
              <w:t>3C</w:t>
            </w:r>
            <w:r w:rsidRPr="00143473">
              <w:rPr>
                <w:rFonts w:ascii="Times New Roman" w:eastAsia="宋体" w:hAnsi="Times New Roman" w:cs="Times New Roman"/>
                <w:sz w:val="24"/>
                <w:szCs w:val="24"/>
                <w:shd w:val="clear" w:color="auto" w:fill="FDFDFD"/>
              </w:rPr>
              <w:t>电子产品需求不确定性极高、迭代速度快、价值衰减迅速等行业特性，引入制造商风险规避这一决策者内在行为特质，深入分析其如何影响制造商的</w:t>
            </w:r>
            <w:r w:rsidRPr="00143473">
              <w:rPr>
                <w:rFonts w:ascii="Times New Roman" w:eastAsia="宋体" w:hAnsi="Times New Roman" w:cs="Times New Roman" w:hint="eastAsia"/>
                <w:sz w:val="24"/>
                <w:szCs w:val="24"/>
                <w:shd w:val="clear" w:color="auto" w:fill="FDFDFD"/>
              </w:rPr>
              <w:t>在线</w:t>
            </w:r>
            <w:r w:rsidRPr="00143473">
              <w:rPr>
                <w:rFonts w:ascii="Times New Roman" w:eastAsia="宋体" w:hAnsi="Times New Roman" w:cs="Times New Roman"/>
                <w:sz w:val="24"/>
                <w:szCs w:val="24"/>
                <w:shd w:val="clear" w:color="auto" w:fill="FDFDFD"/>
              </w:rPr>
              <w:t>销售模式选择策略。</w:t>
            </w:r>
            <w:bookmarkStart w:id="14" w:name="OLE_LINK48"/>
            <w:bookmarkStart w:id="15" w:name="OLE_LINK49"/>
            <w:r w:rsidR="00BA1E09">
              <w:rPr>
                <w:rFonts w:ascii="Times New Roman" w:eastAsia="宋体" w:hAnsi="Times New Roman" w:cs="Times New Roman" w:hint="eastAsia"/>
                <w:sz w:val="24"/>
                <w:szCs w:val="24"/>
                <w:shd w:val="clear" w:color="auto" w:fill="FDFDFD"/>
              </w:rPr>
              <w:t>研究发现，在制造商风险中性</w:t>
            </w:r>
            <w:r w:rsidRPr="00143473">
              <w:rPr>
                <w:rFonts w:ascii="Times New Roman" w:eastAsia="宋体" w:hAnsi="Times New Roman" w:cs="Times New Roman" w:hint="eastAsia"/>
                <w:sz w:val="24"/>
                <w:szCs w:val="24"/>
                <w:shd w:val="clear" w:color="auto" w:fill="FDFDFD"/>
              </w:rPr>
              <w:t>情形下，其销售模式选择取决于电商平台佣金比例的高低。</w:t>
            </w:r>
            <w:r w:rsidRPr="00143473">
              <w:rPr>
                <w:rFonts w:ascii="Times New Roman" w:eastAsia="宋体" w:hAnsi="Times New Roman" w:cs="Times New Roman"/>
                <w:sz w:val="24"/>
                <w:szCs w:val="24"/>
                <w:shd w:val="clear" w:color="auto" w:fill="FDFDFD"/>
              </w:rPr>
              <w:t>而</w:t>
            </w:r>
            <w:r w:rsidR="00BA1E09">
              <w:rPr>
                <w:rFonts w:ascii="Times New Roman" w:eastAsia="宋体" w:hAnsi="Times New Roman" w:cs="Times New Roman" w:hint="eastAsia"/>
                <w:sz w:val="24"/>
                <w:szCs w:val="24"/>
                <w:shd w:val="clear" w:color="auto" w:fill="FDFDFD"/>
              </w:rPr>
              <w:t>在制造商风险规避</w:t>
            </w:r>
            <w:r w:rsidRPr="00143473">
              <w:rPr>
                <w:rFonts w:ascii="Times New Roman" w:eastAsia="宋体" w:hAnsi="Times New Roman" w:cs="Times New Roman" w:hint="eastAsia"/>
                <w:sz w:val="24"/>
                <w:szCs w:val="24"/>
                <w:shd w:val="clear" w:color="auto" w:fill="FDFDFD"/>
              </w:rPr>
              <w:t>情形下</w:t>
            </w:r>
            <w:r w:rsidRPr="00143473">
              <w:rPr>
                <w:rFonts w:ascii="Times New Roman" w:eastAsia="宋体" w:hAnsi="Times New Roman" w:cs="Times New Roman"/>
                <w:sz w:val="24"/>
                <w:szCs w:val="24"/>
                <w:shd w:val="clear" w:color="auto" w:fill="FDFDFD"/>
              </w:rPr>
              <w:t>，其模式选择则</w:t>
            </w:r>
            <w:bookmarkStart w:id="16" w:name="OLE_LINK83"/>
            <w:bookmarkStart w:id="17" w:name="OLE_LINK84"/>
            <w:r w:rsidRPr="00143473">
              <w:rPr>
                <w:rFonts w:ascii="Times New Roman" w:eastAsia="宋体" w:hAnsi="Times New Roman" w:cs="Times New Roman"/>
                <w:sz w:val="24"/>
                <w:szCs w:val="24"/>
                <w:shd w:val="clear" w:color="auto" w:fill="FDFDFD"/>
              </w:rPr>
              <w:t>同时受到佣金比例</w:t>
            </w:r>
            <w:r w:rsidRPr="00143473">
              <w:rPr>
                <w:rFonts w:ascii="Times New Roman" w:eastAsia="宋体" w:hAnsi="Times New Roman" w:cs="Times New Roman" w:hint="eastAsia"/>
                <w:sz w:val="24"/>
                <w:szCs w:val="24"/>
                <w:shd w:val="clear" w:color="auto" w:fill="FDFDFD"/>
              </w:rPr>
              <w:t>及</w:t>
            </w:r>
            <w:r w:rsidRPr="00143473">
              <w:rPr>
                <w:rFonts w:ascii="Times New Roman" w:eastAsia="宋体" w:hAnsi="Times New Roman" w:cs="Times New Roman"/>
                <w:sz w:val="24"/>
                <w:szCs w:val="24"/>
                <w:shd w:val="clear" w:color="auto" w:fill="FDFDFD"/>
              </w:rPr>
              <w:t>其自身风险规避程度的影响</w:t>
            </w:r>
            <w:bookmarkEnd w:id="16"/>
            <w:bookmarkEnd w:id="17"/>
            <w:r w:rsidRPr="00143473">
              <w:rPr>
                <w:rFonts w:ascii="Times New Roman" w:eastAsia="宋体" w:hAnsi="Times New Roman" w:cs="Times New Roman"/>
                <w:sz w:val="24"/>
                <w:szCs w:val="24"/>
                <w:shd w:val="clear" w:color="auto" w:fill="FDFDFD"/>
              </w:rPr>
              <w:t>。</w:t>
            </w:r>
            <w:bookmarkStart w:id="18" w:name="OLE_LINK521"/>
            <w:bookmarkStart w:id="19" w:name="OLE_LINK522"/>
            <w:bookmarkStart w:id="20" w:name="OLE_LINK573"/>
            <w:bookmarkStart w:id="21" w:name="OLE_LINK574"/>
            <w:bookmarkEnd w:id="12"/>
            <w:bookmarkEnd w:id="13"/>
            <w:bookmarkEnd w:id="14"/>
            <w:bookmarkEnd w:id="15"/>
          </w:p>
          <w:p w:rsidR="00BA1E09" w:rsidRDefault="00143473" w:rsidP="00143473">
            <w:pPr>
              <w:adjustRightInd w:val="0"/>
              <w:snapToGrid w:val="0"/>
              <w:ind w:firstLineChars="200" w:firstLine="480"/>
              <w:rPr>
                <w:rFonts w:ascii="Times New Roman" w:eastAsia="宋体" w:hAnsi="Times New Roman" w:cs="Times New Roman" w:hint="eastAsia"/>
                <w:sz w:val="24"/>
                <w:szCs w:val="24"/>
              </w:rPr>
            </w:pPr>
            <w:r w:rsidRPr="00143473">
              <w:rPr>
                <w:rFonts w:ascii="宋体" w:eastAsia="宋体" w:hAnsi="宋体" w:cs="Calibri" w:hint="eastAsia"/>
                <w:sz w:val="24"/>
                <w:szCs w:val="24"/>
              </w:rPr>
              <w:t>其次，</w:t>
            </w:r>
            <w:r w:rsidRPr="00143473">
              <w:rPr>
                <w:rFonts w:ascii="宋体" w:eastAsia="宋体" w:hAnsi="宋体" w:cs="Calibri"/>
                <w:sz w:val="24"/>
                <w:szCs w:val="24"/>
              </w:rPr>
              <w:t>从产品层面因素来看，电商平台引入区块链技术作为影响制造商生产阶段的重要创新，通过提升产品的可追溯性与信息透明度显著影响制造商决策</w:t>
            </w:r>
            <w:bookmarkEnd w:id="18"/>
            <w:bookmarkEnd w:id="19"/>
            <w:r w:rsidRPr="00143473">
              <w:rPr>
                <w:rFonts w:ascii="宋体" w:eastAsia="宋体" w:hAnsi="宋体" w:cs="Calibri"/>
                <w:sz w:val="24"/>
                <w:szCs w:val="24"/>
              </w:rPr>
              <w:t>。研究表明，</w:t>
            </w:r>
            <w:r w:rsidRPr="00143473">
              <w:rPr>
                <w:rFonts w:ascii="Times New Roman" w:eastAsia="宋体" w:hAnsi="Times New Roman" w:cs="Times New Roman"/>
                <w:sz w:val="24"/>
                <w:szCs w:val="24"/>
              </w:rPr>
              <w:t>平台佣金比例、渠道溢出效应及区块链运营成本共同构成影响制造商策略选择的关键</w:t>
            </w:r>
            <w:r w:rsidRPr="00143473">
              <w:rPr>
                <w:rFonts w:ascii="Times New Roman" w:eastAsia="宋体" w:hAnsi="Times New Roman" w:cs="Times New Roman" w:hint="eastAsia"/>
                <w:sz w:val="24"/>
                <w:szCs w:val="24"/>
              </w:rPr>
              <w:t>变量</w:t>
            </w:r>
            <w:r w:rsidRPr="00143473">
              <w:rPr>
                <w:rFonts w:ascii="Times New Roman" w:eastAsia="宋体" w:hAnsi="Times New Roman" w:cs="Times New Roman"/>
                <w:sz w:val="24"/>
                <w:szCs w:val="24"/>
              </w:rPr>
              <w:t>。</w:t>
            </w:r>
            <w:proofErr w:type="gramStart"/>
            <w:r w:rsidRPr="00143473">
              <w:rPr>
                <w:rFonts w:ascii="Times New Roman" w:eastAsia="宋体" w:hAnsi="Times New Roman" w:cs="Times New Roman"/>
                <w:sz w:val="24"/>
                <w:szCs w:val="24"/>
              </w:rPr>
              <w:t>且</w:t>
            </w:r>
            <w:r w:rsidRPr="00143473">
              <w:rPr>
                <w:rFonts w:ascii="Segoe UI" w:eastAsia="宋体" w:hAnsi="Segoe UI" w:cs="Segoe UI"/>
                <w:sz w:val="24"/>
                <w:szCs w:val="24"/>
                <w:shd w:val="clear" w:color="auto" w:fill="FFFFFF"/>
              </w:rPr>
              <w:t>区块链</w:t>
            </w:r>
            <w:proofErr w:type="gramEnd"/>
            <w:r w:rsidRPr="00143473">
              <w:rPr>
                <w:rFonts w:ascii="Segoe UI" w:eastAsia="宋体" w:hAnsi="Segoe UI" w:cs="Segoe UI"/>
                <w:sz w:val="24"/>
                <w:szCs w:val="24"/>
                <w:shd w:val="clear" w:color="auto" w:fill="FFFFFF"/>
              </w:rPr>
              <w:t>的引入提高了制造商选择代销模式的可能性</w:t>
            </w:r>
            <w:r w:rsidRPr="00143473">
              <w:rPr>
                <w:rFonts w:ascii="Segoe UI" w:eastAsia="宋体" w:hAnsi="Segoe UI" w:cs="Segoe UI" w:hint="eastAsia"/>
                <w:sz w:val="24"/>
                <w:szCs w:val="24"/>
                <w:shd w:val="clear" w:color="auto" w:fill="FFFFFF"/>
              </w:rPr>
              <w:t>。</w:t>
            </w:r>
            <w:bookmarkStart w:id="22" w:name="OLE_LINK579"/>
            <w:bookmarkStart w:id="23" w:name="OLE_LINK580"/>
            <w:bookmarkStart w:id="24" w:name="OLE_LINK599"/>
            <w:bookmarkStart w:id="25" w:name="OLE_LINK600"/>
            <w:bookmarkEnd w:id="20"/>
            <w:bookmarkEnd w:id="21"/>
          </w:p>
          <w:p w:rsidR="00143473" w:rsidRPr="00143473" w:rsidRDefault="00143473" w:rsidP="00143473">
            <w:pPr>
              <w:adjustRightInd w:val="0"/>
              <w:snapToGrid w:val="0"/>
              <w:ind w:firstLineChars="200" w:firstLine="480"/>
              <w:rPr>
                <w:rFonts w:ascii="宋体" w:eastAsia="宋体" w:hAnsi="宋体" w:cs="Calibri"/>
                <w:kern w:val="0"/>
                <w:sz w:val="24"/>
                <w:szCs w:val="24"/>
              </w:rPr>
            </w:pPr>
            <w:r w:rsidRPr="00143473">
              <w:rPr>
                <w:rFonts w:ascii="宋体" w:eastAsia="宋体" w:hAnsi="宋体" w:cs="Calibri" w:hint="eastAsia"/>
                <w:kern w:val="0"/>
                <w:sz w:val="24"/>
                <w:szCs w:val="24"/>
              </w:rPr>
              <w:t>再次，</w:t>
            </w:r>
            <w:bookmarkEnd w:id="22"/>
            <w:bookmarkEnd w:id="23"/>
            <w:r w:rsidRPr="00143473">
              <w:rPr>
                <w:rFonts w:ascii="宋体" w:eastAsia="宋体" w:hAnsi="宋体" w:cs="Calibri"/>
                <w:kern w:val="0"/>
                <w:sz w:val="24"/>
                <w:szCs w:val="24"/>
              </w:rPr>
              <w:t>从市场层面因素分析，消费者在线评论作为销售阶段的重要影响因素，通过</w:t>
            </w:r>
            <w:r w:rsidRPr="00143473">
              <w:rPr>
                <w:rFonts w:ascii="宋体" w:eastAsia="宋体" w:hAnsi="宋体" w:cs="Calibri" w:hint="eastAsia"/>
                <w:kern w:val="0"/>
                <w:sz w:val="24"/>
                <w:szCs w:val="24"/>
              </w:rPr>
              <w:t>改变</w:t>
            </w:r>
            <w:r w:rsidRPr="00143473">
              <w:rPr>
                <w:rFonts w:ascii="宋体" w:eastAsia="宋体" w:hAnsi="宋体" w:cs="Calibri"/>
                <w:kern w:val="0"/>
                <w:sz w:val="24"/>
                <w:szCs w:val="24"/>
              </w:rPr>
              <w:t>消费者估值信念与</w:t>
            </w:r>
            <w:r w:rsidRPr="00143473">
              <w:rPr>
                <w:rFonts w:ascii="宋体" w:eastAsia="宋体" w:hAnsi="宋体" w:cs="Calibri" w:hint="eastAsia"/>
                <w:kern w:val="0"/>
                <w:sz w:val="24"/>
                <w:szCs w:val="24"/>
              </w:rPr>
              <w:t>供应</w:t>
            </w:r>
            <w:proofErr w:type="gramStart"/>
            <w:r w:rsidRPr="00143473">
              <w:rPr>
                <w:rFonts w:ascii="宋体" w:eastAsia="宋体" w:hAnsi="宋体" w:cs="Calibri" w:hint="eastAsia"/>
                <w:kern w:val="0"/>
                <w:sz w:val="24"/>
                <w:szCs w:val="24"/>
              </w:rPr>
              <w:t>链</w:t>
            </w:r>
            <w:r w:rsidRPr="00143473">
              <w:rPr>
                <w:rFonts w:ascii="宋体" w:eastAsia="宋体" w:hAnsi="宋体" w:cs="Calibri"/>
                <w:kern w:val="0"/>
                <w:sz w:val="24"/>
                <w:szCs w:val="24"/>
              </w:rPr>
              <w:t>风险</w:t>
            </w:r>
            <w:proofErr w:type="gramEnd"/>
            <w:r w:rsidRPr="00143473">
              <w:rPr>
                <w:rFonts w:ascii="宋体" w:eastAsia="宋体" w:hAnsi="宋体" w:cs="Calibri"/>
                <w:kern w:val="0"/>
                <w:sz w:val="24"/>
                <w:szCs w:val="24"/>
              </w:rPr>
              <w:t>分配影响制造商的渠道策略选择。电商平台佣金比例、消费者对线</w:t>
            </w:r>
            <w:proofErr w:type="gramStart"/>
            <w:r w:rsidRPr="00143473">
              <w:rPr>
                <w:rFonts w:ascii="宋体" w:eastAsia="宋体" w:hAnsi="宋体" w:cs="Calibri"/>
                <w:kern w:val="0"/>
                <w:sz w:val="24"/>
                <w:szCs w:val="24"/>
              </w:rPr>
              <w:t>上渠道</w:t>
            </w:r>
            <w:proofErr w:type="gramEnd"/>
            <w:r w:rsidRPr="00143473">
              <w:rPr>
                <w:rFonts w:ascii="宋体" w:eastAsia="宋体" w:hAnsi="宋体" w:cs="Calibri"/>
                <w:kern w:val="0"/>
                <w:sz w:val="24"/>
                <w:szCs w:val="24"/>
              </w:rPr>
              <w:t>的接受程度、在线好评率</w:t>
            </w:r>
            <w:r w:rsidRPr="00143473">
              <w:rPr>
                <w:rFonts w:ascii="宋体" w:eastAsia="宋体" w:hAnsi="宋体" w:cs="Calibri" w:hint="eastAsia"/>
                <w:kern w:val="0"/>
                <w:sz w:val="24"/>
                <w:szCs w:val="24"/>
              </w:rPr>
              <w:t>和好评正效应</w:t>
            </w:r>
            <w:r w:rsidRPr="00143473">
              <w:rPr>
                <w:rFonts w:ascii="宋体" w:eastAsia="宋体" w:hAnsi="宋体" w:cs="Calibri"/>
                <w:kern w:val="0"/>
                <w:sz w:val="24"/>
                <w:szCs w:val="24"/>
              </w:rPr>
              <w:t>共同决定了制造商在转销与代销模式之间的权衡。</w:t>
            </w:r>
            <w:r w:rsidRPr="00143473">
              <w:rPr>
                <w:rFonts w:ascii="宋体" w:eastAsia="宋体" w:hAnsi="宋体" w:cs="Calibri" w:hint="eastAsia"/>
                <w:kern w:val="0"/>
                <w:sz w:val="24"/>
                <w:szCs w:val="24"/>
              </w:rPr>
              <w:t>当好评率较高、好评正效应显著时，制造商更倾向于选择代销模式，以充分利用声誉溢价和渠道控制权。</w:t>
            </w:r>
            <w:bookmarkEnd w:id="24"/>
            <w:bookmarkEnd w:id="25"/>
          </w:p>
          <w:p w:rsidR="000F33B2" w:rsidRPr="00BA1E09" w:rsidRDefault="00143473" w:rsidP="00BA1E09">
            <w:pPr>
              <w:adjustRightInd w:val="0"/>
              <w:snapToGrid w:val="0"/>
              <w:ind w:firstLineChars="200" w:firstLine="480"/>
              <w:rPr>
                <w:rFonts w:ascii="宋体" w:eastAsia="宋体" w:hAnsi="宋体" w:cs="Calibri"/>
                <w:kern w:val="0"/>
                <w:sz w:val="24"/>
                <w:szCs w:val="24"/>
              </w:rPr>
            </w:pPr>
            <w:r w:rsidRPr="00143473">
              <w:rPr>
                <w:rFonts w:ascii="宋体" w:eastAsia="宋体" w:hAnsi="宋体" w:cs="Calibri"/>
                <w:kern w:val="0"/>
                <w:sz w:val="24"/>
                <w:szCs w:val="24"/>
              </w:rPr>
              <w:t>最后，从参与者行为因素考察，本研究揭示了售后服务提供模式（制造商自营或零售商提供）作为售后阶段的关键决策，与制造商在线销售模式之间的策略匹配关系。</w:t>
            </w:r>
            <w:r w:rsidR="008D1B72">
              <w:rPr>
                <w:rFonts w:ascii="宋体" w:eastAsia="宋体" w:hAnsi="宋体" w:cs="Calibri"/>
                <w:kern w:val="0"/>
                <w:sz w:val="24"/>
                <w:szCs w:val="24"/>
              </w:rPr>
              <w:t>研究发现</w:t>
            </w:r>
            <w:r w:rsidR="008D1B72">
              <w:rPr>
                <w:rFonts w:ascii="宋体" w:eastAsia="宋体" w:hAnsi="宋体" w:cs="Calibri" w:hint="eastAsia"/>
                <w:kern w:val="0"/>
                <w:sz w:val="24"/>
                <w:szCs w:val="24"/>
              </w:rPr>
              <w:t>，</w:t>
            </w:r>
            <w:r w:rsidRPr="00143473">
              <w:rPr>
                <w:rFonts w:ascii="宋体" w:eastAsia="宋体" w:hAnsi="宋体" w:cs="Calibri"/>
                <w:kern w:val="0"/>
                <w:sz w:val="24"/>
                <w:szCs w:val="24"/>
              </w:rPr>
              <w:t>制造商的</w:t>
            </w:r>
            <w:r w:rsidRPr="00143473">
              <w:rPr>
                <w:rFonts w:ascii="宋体" w:eastAsia="宋体" w:hAnsi="宋体" w:cs="Calibri" w:hint="eastAsia"/>
                <w:kern w:val="0"/>
                <w:sz w:val="24"/>
                <w:szCs w:val="24"/>
              </w:rPr>
              <w:t>销售</w:t>
            </w:r>
            <w:r w:rsidRPr="00143473">
              <w:rPr>
                <w:rFonts w:ascii="宋体" w:eastAsia="宋体" w:hAnsi="宋体" w:cs="Calibri"/>
                <w:kern w:val="0"/>
                <w:sz w:val="24"/>
                <w:szCs w:val="24"/>
              </w:rPr>
              <w:t>模式选择不仅受传统因素如平台佣金比例的影响，更与服务成本系数以及</w:t>
            </w:r>
            <w:r w:rsidRPr="00143473">
              <w:rPr>
                <w:rFonts w:ascii="宋体" w:eastAsia="宋体" w:hAnsi="宋体" w:cs="Calibri" w:hint="eastAsia"/>
                <w:kern w:val="0"/>
                <w:sz w:val="24"/>
                <w:szCs w:val="24"/>
              </w:rPr>
              <w:t>消费者对线上电</w:t>
            </w:r>
            <w:proofErr w:type="gramStart"/>
            <w:r w:rsidRPr="00143473">
              <w:rPr>
                <w:rFonts w:ascii="宋体" w:eastAsia="宋体" w:hAnsi="宋体" w:cs="Calibri" w:hint="eastAsia"/>
                <w:kern w:val="0"/>
                <w:sz w:val="24"/>
                <w:szCs w:val="24"/>
              </w:rPr>
              <w:t>商渠道</w:t>
            </w:r>
            <w:proofErr w:type="gramEnd"/>
            <w:r w:rsidRPr="00143473">
              <w:rPr>
                <w:rFonts w:ascii="宋体" w:eastAsia="宋体" w:hAnsi="宋体" w:cs="Calibri" w:hint="eastAsia"/>
                <w:kern w:val="0"/>
                <w:sz w:val="24"/>
                <w:szCs w:val="24"/>
              </w:rPr>
              <w:t>的接受程度</w:t>
            </w:r>
            <w:r w:rsidRPr="00143473">
              <w:rPr>
                <w:rFonts w:ascii="宋体" w:eastAsia="宋体" w:hAnsi="宋体" w:cs="Calibri"/>
                <w:kern w:val="0"/>
                <w:sz w:val="24"/>
                <w:szCs w:val="24"/>
              </w:rPr>
              <w:t>密切相关。</w:t>
            </w:r>
            <w:bookmarkEnd w:id="6"/>
            <w:bookmarkEnd w:id="7"/>
          </w:p>
          <w:p w:rsidR="000F33B2" w:rsidRDefault="000F33B2" w:rsidP="000F33B2">
            <w:pPr>
              <w:widowControl/>
              <w:jc w:val="center"/>
              <w:rPr>
                <w:rFonts w:ascii="宋体" w:eastAsia="宋体" w:hAnsi="宋体" w:cs="宋体" w:hint="eastAsia"/>
                <w:b/>
                <w:color w:val="000000"/>
                <w:kern w:val="0"/>
                <w:sz w:val="28"/>
                <w:szCs w:val="28"/>
              </w:rPr>
            </w:pPr>
          </w:p>
          <w:p w:rsidR="00207681" w:rsidRDefault="00207681" w:rsidP="00207681">
            <w:pPr>
              <w:widowControl/>
              <w:rPr>
                <w:rFonts w:ascii="宋体" w:eastAsia="宋体" w:hAnsi="宋体" w:cs="宋体"/>
                <w:b/>
                <w:color w:val="000000"/>
                <w:kern w:val="0"/>
                <w:sz w:val="28"/>
                <w:szCs w:val="28"/>
              </w:rPr>
            </w:pPr>
            <w:bookmarkStart w:id="26" w:name="_GoBack"/>
            <w:bookmarkEnd w:id="26"/>
          </w:p>
          <w:p w:rsidR="000F33B2" w:rsidRPr="003F7766" w:rsidRDefault="000F33B2" w:rsidP="00BA1E09">
            <w:pPr>
              <w:widowControl/>
              <w:rPr>
                <w:rFonts w:ascii="宋体" w:eastAsia="宋体" w:hAnsi="宋体" w:cs="宋体"/>
                <w:b/>
                <w:color w:val="000000"/>
                <w:kern w:val="0"/>
                <w:sz w:val="28"/>
                <w:szCs w:val="28"/>
              </w:rPr>
            </w:pPr>
          </w:p>
        </w:tc>
      </w:tr>
    </w:tbl>
    <w:p w:rsidR="003A748B" w:rsidRPr="00F94709" w:rsidRDefault="001E5E6F" w:rsidP="00F95865">
      <w:pPr>
        <w:rPr>
          <w:sz w:val="24"/>
          <w:szCs w:val="24"/>
        </w:rPr>
      </w:pPr>
    </w:p>
    <w:sectPr w:rsidR="003A748B"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E6F" w:rsidRDefault="001E5E6F" w:rsidP="00BA5512">
      <w:r>
        <w:separator/>
      </w:r>
    </w:p>
  </w:endnote>
  <w:endnote w:type="continuationSeparator" w:id="0">
    <w:p w:rsidR="001E5E6F" w:rsidRDefault="001E5E6F"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E6F" w:rsidRDefault="001E5E6F" w:rsidP="00BA5512">
      <w:r>
        <w:separator/>
      </w:r>
    </w:p>
  </w:footnote>
  <w:footnote w:type="continuationSeparator" w:id="0">
    <w:p w:rsidR="001E5E6F" w:rsidRDefault="001E5E6F"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F7766"/>
    <w:rsid w:val="000561F3"/>
    <w:rsid w:val="000C309C"/>
    <w:rsid w:val="000F33B2"/>
    <w:rsid w:val="00143473"/>
    <w:rsid w:val="0014433F"/>
    <w:rsid w:val="00155753"/>
    <w:rsid w:val="001A5243"/>
    <w:rsid w:val="001B350E"/>
    <w:rsid w:val="001E5E6F"/>
    <w:rsid w:val="00207681"/>
    <w:rsid w:val="003675C5"/>
    <w:rsid w:val="003D17E1"/>
    <w:rsid w:val="003D4482"/>
    <w:rsid w:val="003F7766"/>
    <w:rsid w:val="00445EA3"/>
    <w:rsid w:val="00567FA6"/>
    <w:rsid w:val="00671515"/>
    <w:rsid w:val="006940BD"/>
    <w:rsid w:val="006D7BC5"/>
    <w:rsid w:val="007161AA"/>
    <w:rsid w:val="00717274"/>
    <w:rsid w:val="00776AA6"/>
    <w:rsid w:val="008B6443"/>
    <w:rsid w:val="008D1B72"/>
    <w:rsid w:val="00913C51"/>
    <w:rsid w:val="00953245"/>
    <w:rsid w:val="009F37AD"/>
    <w:rsid w:val="00A26486"/>
    <w:rsid w:val="00AF7E26"/>
    <w:rsid w:val="00BA1E09"/>
    <w:rsid w:val="00BA5512"/>
    <w:rsid w:val="00CA3673"/>
    <w:rsid w:val="00D01C3B"/>
    <w:rsid w:val="00D3739E"/>
    <w:rsid w:val="00DA647F"/>
    <w:rsid w:val="00E80504"/>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09C"/>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A5512"/>
    <w:rPr>
      <w:sz w:val="18"/>
      <w:szCs w:val="18"/>
    </w:rPr>
  </w:style>
  <w:style w:type="paragraph" w:styleId="a4">
    <w:name w:val="footer"/>
    <w:basedOn w:val="a"/>
    <w:link w:val="Char0"/>
    <w:uiPriority w:val="99"/>
    <w:unhideWhenUsed/>
    <w:rsid w:val="00BA5512"/>
    <w:pPr>
      <w:tabs>
        <w:tab w:val="center" w:pos="4153"/>
        <w:tab w:val="right" w:pos="8306"/>
      </w:tabs>
      <w:snapToGrid w:val="0"/>
      <w:jc w:val="left"/>
    </w:pPr>
    <w:rPr>
      <w:sz w:val="18"/>
      <w:szCs w:val="18"/>
    </w:rPr>
  </w:style>
  <w:style w:type="character" w:customStyle="1" w:styleId="Char0">
    <w:name w:val="页脚 Char"/>
    <w:basedOn w:val="a0"/>
    <w:link w:val="a4"/>
    <w:uiPriority w:val="99"/>
    <w:rsid w:val="00BA551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 w:id="165822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Pages>
  <Words>534</Words>
  <Characters>534</Characters>
  <Application>Microsoft Office Word</Application>
  <DocSecurity>0</DocSecurity>
  <Lines>20</Lines>
  <Paragraphs>15</Paragraphs>
  <ScaleCrop>false</ScaleCrop>
  <Company>Lenovo</Company>
  <LinksUpToDate>false</LinksUpToDate>
  <CharactersWithSpaces>1053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30</cp:revision>
  <cp:lastPrinted>2017-01-06T07:14:00Z</cp:lastPrinted>
  <dcterms:created xsi:type="dcterms:W3CDTF">2017-01-06T06:51:00Z</dcterms:created>
  <dcterms:modified xsi:type="dcterms:W3CDTF">2025-11-13T05:17:00Z</dcterms:modified>
</cp:coreProperties>
</file>