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371C" w:rsidRDefault="00E7371C" w:rsidP="00E7371C">
      <w:pPr>
        <w:ind w:firstLineChars="0" w:firstLine="0"/>
        <w:rPr>
          <w:rFonts w:ascii="Times New Roman" w:hAnsi="Times New Roman"/>
        </w:rPr>
      </w:pPr>
      <w:r>
        <w:rPr>
          <w:rFonts w:ascii="Times New Roman" w:eastAsia="方正仿宋_GBK" w:hAnsi="Times New Roman"/>
          <w:color w:val="000000"/>
          <w:sz w:val="32"/>
          <w:szCs w:val="32"/>
        </w:rPr>
        <w:t>附件</w:t>
      </w:r>
      <w:r>
        <w:rPr>
          <w:rFonts w:ascii="Times New Roman" w:eastAsia="方正仿宋_GBK" w:hAnsi="Times New Roman"/>
          <w:color w:val="000000"/>
          <w:sz w:val="32"/>
          <w:szCs w:val="32"/>
        </w:rPr>
        <w:t>1</w:t>
      </w:r>
    </w:p>
    <w:p w:rsidR="00E7371C" w:rsidRDefault="00E7371C" w:rsidP="00E7371C">
      <w:pPr>
        <w:spacing w:line="700" w:lineRule="exact"/>
        <w:ind w:firstLineChars="0" w:firstLine="0"/>
        <w:jc w:val="center"/>
        <w:rPr>
          <w:rFonts w:ascii="方正大标宋_GBK" w:eastAsia="方正大标宋_GBK" w:cs="黑体"/>
          <w:bCs/>
          <w:sz w:val="44"/>
          <w:szCs w:val="44"/>
        </w:rPr>
      </w:pPr>
      <w:r>
        <w:rPr>
          <w:rFonts w:ascii="方正大标宋_GBK" w:eastAsia="方正大标宋_GBK" w:cs="黑体" w:hint="eastAsia"/>
          <w:bCs/>
          <w:sz w:val="44"/>
          <w:szCs w:val="44"/>
        </w:rPr>
        <w:t>天府科技云专家团“深耕”赋能</w:t>
      </w:r>
    </w:p>
    <w:p w:rsidR="00E7371C" w:rsidRDefault="00E7371C" w:rsidP="00E7371C">
      <w:pPr>
        <w:spacing w:line="700" w:lineRule="exact"/>
        <w:ind w:firstLineChars="0" w:firstLine="0"/>
        <w:jc w:val="center"/>
        <w:rPr>
          <w:rFonts w:ascii="方正大标宋_GBK" w:eastAsia="方正大标宋_GBK" w:cs="黑体"/>
          <w:color w:val="000000"/>
          <w:sz w:val="44"/>
          <w:szCs w:val="44"/>
        </w:rPr>
      </w:pPr>
      <w:r>
        <w:rPr>
          <w:rFonts w:ascii="方正大标宋_GBK" w:eastAsia="方正大标宋_GBK" w:cs="黑体" w:hint="eastAsia"/>
          <w:bCs/>
          <w:sz w:val="44"/>
          <w:szCs w:val="44"/>
        </w:rPr>
        <w:t>行动示范项目申报指南</w:t>
      </w:r>
    </w:p>
    <w:p w:rsidR="00E7371C" w:rsidRDefault="00E7371C" w:rsidP="00E7371C">
      <w:pPr>
        <w:ind w:firstLine="640"/>
        <w:rPr>
          <w:rFonts w:ascii="方正仿宋简体" w:eastAsia="方正仿宋简体"/>
          <w:bCs/>
          <w:sz w:val="32"/>
          <w:szCs w:val="32"/>
        </w:rPr>
      </w:pPr>
    </w:p>
    <w:p w:rsidR="00E7371C" w:rsidRDefault="00E7371C" w:rsidP="00E7371C">
      <w:pPr>
        <w:ind w:firstLine="640"/>
        <w:rPr>
          <w:rFonts w:ascii="方正仿宋_GBK" w:eastAsia="方正仿宋_GBK"/>
          <w:bCs/>
          <w:sz w:val="32"/>
          <w:szCs w:val="32"/>
        </w:rPr>
      </w:pPr>
      <w:r>
        <w:rPr>
          <w:rFonts w:ascii="Times New Roman" w:eastAsia="方正仿宋_GBK" w:hAnsi="Times New Roman"/>
          <w:bCs/>
          <w:sz w:val="32"/>
          <w:szCs w:val="32"/>
        </w:rPr>
        <w:t>2023</w:t>
      </w:r>
      <w:r>
        <w:rPr>
          <w:rFonts w:ascii="Times New Roman" w:eastAsia="方正仿宋_GBK" w:hAnsi="Times New Roman"/>
          <w:bCs/>
          <w:sz w:val="32"/>
          <w:szCs w:val="32"/>
        </w:rPr>
        <w:t>年，省科协、财政厅决定联合发布、申报、支持为推</w:t>
      </w:r>
      <w:r>
        <w:rPr>
          <w:rFonts w:ascii="方正仿宋_GBK" w:eastAsia="方正仿宋_GBK" w:hint="eastAsia"/>
          <w:bCs/>
          <w:sz w:val="32"/>
          <w:szCs w:val="32"/>
        </w:rPr>
        <w:t>动“四化同步、城乡融合、五区共兴”提供科技赋能服务示范项目，根据《天府科技云专家团“深耕”赋能行动实施方案》，为做好项目组织申报工作，特制定本指南。</w:t>
      </w:r>
    </w:p>
    <w:p w:rsidR="00E7371C" w:rsidRDefault="00E7371C" w:rsidP="00E7371C">
      <w:pPr>
        <w:ind w:firstLine="640"/>
        <w:rPr>
          <w:rFonts w:ascii="方正黑体_GBK" w:eastAsia="方正黑体_GBK"/>
          <w:bCs/>
          <w:sz w:val="32"/>
          <w:szCs w:val="32"/>
        </w:rPr>
      </w:pPr>
      <w:r>
        <w:rPr>
          <w:rFonts w:ascii="方正黑体_GBK" w:eastAsia="方正黑体_GBK" w:hint="eastAsia"/>
          <w:bCs/>
          <w:sz w:val="32"/>
          <w:szCs w:val="32"/>
        </w:rPr>
        <w:t>一、项目概况</w:t>
      </w:r>
    </w:p>
    <w:p w:rsidR="00E7371C" w:rsidRDefault="00E7371C" w:rsidP="00E7371C">
      <w:pPr>
        <w:ind w:firstLine="640"/>
        <w:rPr>
          <w:rFonts w:ascii="方正仿宋_GBK" w:eastAsia="方正仿宋_GBK"/>
          <w:bCs/>
          <w:sz w:val="32"/>
          <w:szCs w:val="32"/>
        </w:rPr>
      </w:pPr>
      <w:r>
        <w:rPr>
          <w:rFonts w:ascii="方正仿宋_GBK" w:eastAsia="方正仿宋_GBK" w:hint="eastAsia"/>
          <w:bCs/>
          <w:sz w:val="32"/>
          <w:szCs w:val="32"/>
        </w:rPr>
        <w:t>项目名称：天府科技云专家团“深耕”赋能行动示范项目</w:t>
      </w:r>
    </w:p>
    <w:p w:rsidR="00E7371C" w:rsidRDefault="00E7371C" w:rsidP="00E7371C">
      <w:pPr>
        <w:ind w:firstLine="640"/>
        <w:rPr>
          <w:rFonts w:ascii="方正仿宋_GBK" w:eastAsia="方正仿宋_GBK"/>
          <w:bCs/>
          <w:sz w:val="32"/>
          <w:szCs w:val="32"/>
        </w:rPr>
      </w:pPr>
      <w:r>
        <w:rPr>
          <w:rFonts w:ascii="方正仿宋_GBK" w:eastAsia="方正仿宋_GBK" w:hint="eastAsia"/>
          <w:bCs/>
          <w:sz w:val="32"/>
          <w:szCs w:val="32"/>
        </w:rPr>
        <w:t>核心任务：组建天府科技云专家团，着眼为“四化同步、城乡融合、五区共兴”发展提供科技支撑，在“聚焦新型工业化主引擎、助力产业提质倍增，聚焦新型工业化与信息化深度融合、促进数字经济与实体经济深度融合，聚焦新型工业化与城镇化良性互动、增强城镇功能与产业能级，聚焦推动新型工业化与农业现代化相互协调、构建现代农业体系”等方面，着力为我省新型工业化、信息化、城镇化、农业现代化高质量发展提供科技赋能服务；着力为我省统筹推动新型城镇化和乡村振兴，加快形成以城带乡、以工促农、城乡共同繁荣新格局提供科技赋能服务；着力为促进成都平原、川南、川东北、攀西经济区和川西北生态示范区协同共兴，高水平推动区域协调发展提供科技赋能服务。</w:t>
      </w:r>
    </w:p>
    <w:p w:rsidR="00E7371C" w:rsidRDefault="00E7371C" w:rsidP="00E7371C">
      <w:pPr>
        <w:ind w:firstLine="640"/>
        <w:rPr>
          <w:rFonts w:ascii="Times New Roman" w:eastAsia="方正仿宋_GBK" w:hAnsi="Times New Roman"/>
          <w:bCs/>
          <w:sz w:val="32"/>
          <w:szCs w:val="32"/>
        </w:rPr>
      </w:pPr>
      <w:r>
        <w:rPr>
          <w:rFonts w:ascii="Times New Roman" w:eastAsia="方正仿宋_GBK" w:hAnsi="Times New Roman"/>
          <w:bCs/>
          <w:sz w:val="32"/>
          <w:szCs w:val="32"/>
        </w:rPr>
        <w:lastRenderedPageBreak/>
        <w:t>立项数量：</w:t>
      </w:r>
      <w:r>
        <w:rPr>
          <w:rFonts w:ascii="Times New Roman" w:eastAsia="方正仿宋_GBK" w:hAnsi="Times New Roman"/>
          <w:bCs/>
          <w:sz w:val="32"/>
          <w:szCs w:val="32"/>
        </w:rPr>
        <w:t>20</w:t>
      </w:r>
      <w:r>
        <w:rPr>
          <w:rFonts w:ascii="Times New Roman" w:eastAsia="方正仿宋_GBK" w:hAnsi="Times New Roman"/>
          <w:bCs/>
          <w:sz w:val="32"/>
          <w:szCs w:val="32"/>
        </w:rPr>
        <w:t>个</w:t>
      </w:r>
    </w:p>
    <w:p w:rsidR="00E7371C" w:rsidRDefault="00E7371C" w:rsidP="00E7371C">
      <w:pPr>
        <w:ind w:firstLine="640"/>
        <w:rPr>
          <w:rFonts w:ascii="Times New Roman" w:eastAsia="方正仿宋_GBK" w:hAnsi="Times New Roman"/>
          <w:bCs/>
          <w:sz w:val="32"/>
          <w:szCs w:val="32"/>
        </w:rPr>
      </w:pPr>
      <w:r>
        <w:rPr>
          <w:rFonts w:ascii="Times New Roman" w:eastAsia="方正仿宋_GBK" w:hAnsi="Times New Roman"/>
          <w:bCs/>
          <w:sz w:val="32"/>
          <w:szCs w:val="32"/>
        </w:rPr>
        <w:t>经费额度：</w:t>
      </w:r>
      <w:r>
        <w:rPr>
          <w:rFonts w:ascii="Times New Roman" w:eastAsia="方正仿宋_GBK" w:hAnsi="Times New Roman"/>
          <w:bCs/>
          <w:sz w:val="32"/>
          <w:szCs w:val="32"/>
        </w:rPr>
        <w:t>30</w:t>
      </w:r>
      <w:r>
        <w:rPr>
          <w:rFonts w:ascii="Times New Roman" w:eastAsia="方正仿宋_GBK" w:hAnsi="Times New Roman"/>
          <w:bCs/>
          <w:sz w:val="32"/>
          <w:szCs w:val="32"/>
        </w:rPr>
        <w:t>万元</w:t>
      </w:r>
      <w:r>
        <w:rPr>
          <w:rFonts w:ascii="Times New Roman" w:eastAsia="方正仿宋_GBK" w:hAnsi="Times New Roman"/>
          <w:bCs/>
          <w:sz w:val="32"/>
          <w:szCs w:val="32"/>
        </w:rPr>
        <w:t>/</w:t>
      </w:r>
      <w:r>
        <w:rPr>
          <w:rFonts w:ascii="Times New Roman" w:eastAsia="方正仿宋_GBK" w:hAnsi="Times New Roman"/>
          <w:bCs/>
          <w:sz w:val="32"/>
          <w:szCs w:val="32"/>
        </w:rPr>
        <w:t>个</w:t>
      </w:r>
    </w:p>
    <w:p w:rsidR="00E7371C" w:rsidRDefault="00E7371C" w:rsidP="00E7371C">
      <w:pPr>
        <w:ind w:firstLine="640"/>
        <w:rPr>
          <w:rFonts w:ascii="Times New Roman" w:eastAsia="方正仿宋_GBK" w:hAnsi="Times New Roman"/>
          <w:bCs/>
          <w:sz w:val="32"/>
          <w:szCs w:val="32"/>
        </w:rPr>
      </w:pPr>
      <w:r>
        <w:rPr>
          <w:rFonts w:ascii="Times New Roman" w:eastAsia="方正仿宋_GBK" w:hAnsi="Times New Roman"/>
          <w:bCs/>
          <w:sz w:val="32"/>
          <w:szCs w:val="32"/>
        </w:rPr>
        <w:t>项目周期：</w:t>
      </w:r>
      <w:r>
        <w:rPr>
          <w:rFonts w:ascii="Times New Roman" w:eastAsia="方正仿宋_GBK" w:hAnsi="Times New Roman"/>
          <w:bCs/>
          <w:sz w:val="32"/>
          <w:szCs w:val="32"/>
        </w:rPr>
        <w:t>2023</w:t>
      </w:r>
      <w:r>
        <w:rPr>
          <w:rFonts w:ascii="Times New Roman" w:eastAsia="方正仿宋_GBK" w:hAnsi="Times New Roman"/>
          <w:bCs/>
          <w:sz w:val="32"/>
          <w:szCs w:val="32"/>
        </w:rPr>
        <w:t>年</w:t>
      </w:r>
      <w:r>
        <w:rPr>
          <w:rFonts w:ascii="Times New Roman" w:eastAsia="方正仿宋_GBK" w:hAnsi="Times New Roman"/>
          <w:bCs/>
          <w:sz w:val="32"/>
          <w:szCs w:val="32"/>
        </w:rPr>
        <w:t>12</w:t>
      </w:r>
      <w:r>
        <w:rPr>
          <w:rFonts w:ascii="Times New Roman" w:eastAsia="方正仿宋_GBK" w:hAnsi="Times New Roman"/>
          <w:bCs/>
          <w:sz w:val="32"/>
          <w:szCs w:val="32"/>
        </w:rPr>
        <w:t>月</w:t>
      </w:r>
      <w:r>
        <w:rPr>
          <w:rFonts w:ascii="Times New Roman" w:eastAsia="方正仿宋_GBK" w:hAnsi="Times New Roman"/>
          <w:bCs/>
          <w:sz w:val="32"/>
          <w:szCs w:val="32"/>
        </w:rPr>
        <w:t>31</w:t>
      </w:r>
      <w:r>
        <w:rPr>
          <w:rFonts w:ascii="Times New Roman" w:eastAsia="方正仿宋_GBK" w:hAnsi="Times New Roman"/>
          <w:bCs/>
          <w:sz w:val="32"/>
          <w:szCs w:val="32"/>
        </w:rPr>
        <w:t>日前</w:t>
      </w:r>
    </w:p>
    <w:p w:rsidR="00E7371C" w:rsidRDefault="00E7371C" w:rsidP="00E7371C">
      <w:pPr>
        <w:ind w:firstLine="640"/>
        <w:rPr>
          <w:rFonts w:ascii="方正仿宋_GBK" w:eastAsia="方正仿宋_GBK"/>
          <w:bCs/>
          <w:sz w:val="32"/>
          <w:szCs w:val="32"/>
        </w:rPr>
      </w:pPr>
      <w:r>
        <w:rPr>
          <w:rFonts w:ascii="方正仿宋_GBK" w:eastAsia="方正仿宋_GBK" w:hint="eastAsia"/>
          <w:bCs/>
          <w:sz w:val="32"/>
          <w:szCs w:val="32"/>
        </w:rPr>
        <w:t>申报主体：省级学会（协会、研究会、促进会）</w:t>
      </w:r>
    </w:p>
    <w:p w:rsidR="00E7371C" w:rsidRDefault="00E7371C" w:rsidP="00E7371C">
      <w:pPr>
        <w:ind w:firstLine="640"/>
        <w:rPr>
          <w:rFonts w:ascii="方正仿宋_GBK" w:eastAsia="方正仿宋_GBK"/>
          <w:bCs/>
          <w:sz w:val="32"/>
          <w:szCs w:val="32"/>
        </w:rPr>
      </w:pPr>
      <w:r>
        <w:rPr>
          <w:rFonts w:ascii="方正仿宋_GBK" w:eastAsia="方正仿宋_GBK" w:hint="eastAsia"/>
          <w:bCs/>
          <w:sz w:val="32"/>
          <w:szCs w:val="32"/>
        </w:rPr>
        <w:t>实施要求：</w:t>
      </w:r>
    </w:p>
    <w:p w:rsidR="00E7371C" w:rsidRDefault="00E7371C" w:rsidP="00E7371C">
      <w:pPr>
        <w:ind w:firstLine="640"/>
        <w:rPr>
          <w:rFonts w:ascii="方正仿宋_GBK" w:eastAsia="方正仿宋_GBK"/>
          <w:bCs/>
          <w:sz w:val="32"/>
          <w:szCs w:val="32"/>
        </w:rPr>
      </w:pPr>
      <w:r>
        <w:rPr>
          <w:rFonts w:ascii="方正仿宋_GBK" w:eastAsia="方正仿宋_GBK" w:hint="eastAsia"/>
          <w:bCs/>
          <w:sz w:val="32"/>
          <w:szCs w:val="32"/>
        </w:rPr>
        <w:t>天府科技云专家团“深耕”赋能示范项目以省级学会（协会、研究会）名义组织申报，由专家团作为项目实施主体实施，并符合以下实施要求：</w:t>
      </w:r>
    </w:p>
    <w:p w:rsidR="00E7371C" w:rsidRDefault="00E7371C" w:rsidP="00E7371C">
      <w:pPr>
        <w:suppressAutoHyphens/>
        <w:ind w:firstLine="640"/>
        <w:rPr>
          <w:rFonts w:ascii="方正仿宋_GBK" w:eastAsia="方正仿宋_GBK"/>
          <w:bCs/>
          <w:sz w:val="32"/>
          <w:szCs w:val="32"/>
        </w:rPr>
      </w:pPr>
      <w:r>
        <w:rPr>
          <w:rFonts w:ascii="方正楷体_GBK" w:eastAsia="方正楷体_GBK" w:hint="eastAsia"/>
          <w:bCs/>
          <w:sz w:val="32"/>
          <w:szCs w:val="32"/>
        </w:rPr>
        <w:t>（一）组建天府科技云专家团。</w:t>
      </w:r>
      <w:r>
        <w:rPr>
          <w:rFonts w:ascii="方正仿宋_GBK" w:eastAsia="方正仿宋_GBK" w:hint="eastAsia"/>
          <w:bCs/>
          <w:sz w:val="32"/>
          <w:szCs w:val="32"/>
        </w:rPr>
        <w:t>由领衔专家组建专家团，专家团成员</w:t>
      </w:r>
      <w:r>
        <w:rPr>
          <w:rFonts w:ascii="Times New Roman" w:eastAsia="方正仿宋_GBK" w:hAnsi="Times New Roman"/>
          <w:bCs/>
          <w:sz w:val="32"/>
          <w:szCs w:val="32"/>
        </w:rPr>
        <w:t>不少于</w:t>
      </w:r>
      <w:r>
        <w:rPr>
          <w:rFonts w:ascii="Times New Roman" w:eastAsia="方正仿宋_GBK" w:hAnsi="Times New Roman"/>
          <w:bCs/>
          <w:sz w:val="32"/>
          <w:szCs w:val="32"/>
        </w:rPr>
        <w:t>10</w:t>
      </w:r>
      <w:r>
        <w:rPr>
          <w:rFonts w:ascii="Times New Roman" w:eastAsia="方正仿宋_GBK" w:hAnsi="Times New Roman"/>
          <w:bCs/>
          <w:sz w:val="32"/>
          <w:szCs w:val="32"/>
        </w:rPr>
        <w:t>人，其中具备副高以上职称的不少于</w:t>
      </w:r>
      <w:r>
        <w:rPr>
          <w:rFonts w:ascii="Times New Roman" w:eastAsia="方正仿宋_GBK" w:hAnsi="Times New Roman"/>
          <w:bCs/>
          <w:sz w:val="32"/>
          <w:szCs w:val="32"/>
        </w:rPr>
        <w:t>6</w:t>
      </w:r>
      <w:r>
        <w:rPr>
          <w:rFonts w:ascii="Times New Roman" w:eastAsia="方正仿宋_GBK" w:hAnsi="Times New Roman"/>
          <w:bCs/>
          <w:sz w:val="32"/>
          <w:szCs w:val="32"/>
        </w:rPr>
        <w:t>人，</w:t>
      </w:r>
      <w:r>
        <w:rPr>
          <w:rFonts w:ascii="方正仿宋_GBK" w:eastAsia="方正仿宋_GBK" w:hint="eastAsia"/>
          <w:bCs/>
          <w:sz w:val="32"/>
          <w:szCs w:val="32"/>
        </w:rPr>
        <w:t>领衔专家原则上应具备正高职称。</w:t>
      </w:r>
    </w:p>
    <w:p w:rsidR="00E7371C" w:rsidRDefault="00E7371C" w:rsidP="00E7371C">
      <w:pPr>
        <w:suppressAutoHyphens/>
        <w:ind w:firstLine="640"/>
        <w:rPr>
          <w:rFonts w:ascii="方正仿宋_GBK" w:eastAsia="方正仿宋_GBK"/>
          <w:bCs/>
          <w:sz w:val="32"/>
          <w:szCs w:val="32"/>
        </w:rPr>
      </w:pPr>
      <w:r>
        <w:rPr>
          <w:rFonts w:ascii="方正楷体_GBK" w:eastAsia="方正楷体_GBK" w:hint="eastAsia"/>
          <w:bCs/>
          <w:sz w:val="32"/>
          <w:szCs w:val="32"/>
        </w:rPr>
        <w:t>（二）编制专家团项目申报书。</w:t>
      </w:r>
      <w:r>
        <w:rPr>
          <w:rFonts w:ascii="方正仿宋_GBK" w:eastAsia="方正仿宋_GBK" w:hint="eastAsia"/>
          <w:bCs/>
          <w:sz w:val="32"/>
          <w:szCs w:val="32"/>
        </w:rPr>
        <w:t>专家团应围绕项目重点支持方向和核心任务要求，根据天府科技云平台科技需求，根据主动对接或按指派对接的相关市县、产业、园区、企业、基地等科技需求，提出拟提供科技服务、转化科技成果、推广高新技术、承接科研课题等相关科技服务的预期目标、主要内容和重点任务，并编制项目申报书作为项目申报实施内容。</w:t>
      </w:r>
    </w:p>
    <w:p w:rsidR="00E7371C" w:rsidRDefault="00E7371C" w:rsidP="00E7371C">
      <w:pPr>
        <w:suppressAutoHyphens/>
        <w:ind w:firstLine="640"/>
        <w:rPr>
          <w:rFonts w:ascii="方正仿宋_GBK" w:eastAsia="方正仿宋_GBK"/>
          <w:bCs/>
          <w:sz w:val="32"/>
          <w:szCs w:val="32"/>
        </w:rPr>
      </w:pPr>
      <w:r>
        <w:rPr>
          <w:rFonts w:ascii="方正楷体_GBK" w:eastAsia="方正楷体_GBK" w:hint="eastAsia"/>
          <w:bCs/>
          <w:sz w:val="32"/>
          <w:szCs w:val="32"/>
        </w:rPr>
        <w:t>（三）开设专家团示范科创工作室。</w:t>
      </w:r>
      <w:r>
        <w:rPr>
          <w:rFonts w:ascii="方正仿宋_GBK" w:eastAsia="方正仿宋_GBK" w:hint="eastAsia"/>
          <w:bCs/>
          <w:sz w:val="32"/>
          <w:szCs w:val="32"/>
        </w:rPr>
        <w:t>专家团每名成员均应在天府科技云注册并开设各自的科创工作室，向社会公开其“科技所能”。领衔专家应在天府科技云平台代表专家团开设专家团科创工作室，名称修改为：“</w:t>
      </w:r>
      <w:r>
        <w:rPr>
          <w:rFonts w:ascii="Times New Roman" w:eastAsia="方正仿宋_GBK" w:hAnsi="Times New Roman"/>
          <w:bCs/>
          <w:sz w:val="32"/>
          <w:szCs w:val="32"/>
        </w:rPr>
        <w:t>XX</w:t>
      </w:r>
      <w:r>
        <w:rPr>
          <w:rFonts w:ascii="Times New Roman" w:eastAsia="方正仿宋_GBK" w:hAnsi="Times New Roman"/>
          <w:bCs/>
          <w:sz w:val="32"/>
          <w:szCs w:val="32"/>
        </w:rPr>
        <w:t>学会</w:t>
      </w:r>
      <w:r>
        <w:rPr>
          <w:rFonts w:ascii="Times New Roman" w:eastAsia="方正仿宋_GBK" w:hAnsi="Times New Roman"/>
          <w:bCs/>
          <w:sz w:val="32"/>
          <w:szCs w:val="32"/>
        </w:rPr>
        <w:t>+XX</w:t>
      </w:r>
      <w:r>
        <w:rPr>
          <w:rFonts w:ascii="Times New Roman" w:eastAsia="方正仿宋_GBK" w:hAnsi="Times New Roman"/>
          <w:bCs/>
          <w:sz w:val="32"/>
          <w:szCs w:val="32"/>
        </w:rPr>
        <w:t>领域</w:t>
      </w:r>
      <w:r>
        <w:rPr>
          <w:rFonts w:ascii="Times New Roman" w:eastAsia="方正仿宋_GBK" w:hAnsi="Times New Roman"/>
          <w:bCs/>
          <w:sz w:val="32"/>
          <w:szCs w:val="32"/>
        </w:rPr>
        <w:t>+</w:t>
      </w:r>
      <w:r>
        <w:rPr>
          <w:rFonts w:ascii="Times New Roman" w:eastAsia="方正仿宋_GBK" w:hAnsi="Times New Roman"/>
          <w:bCs/>
          <w:sz w:val="32"/>
          <w:szCs w:val="32"/>
        </w:rPr>
        <w:t>专</w:t>
      </w:r>
      <w:r>
        <w:rPr>
          <w:rFonts w:ascii="方正仿宋_GBK" w:eastAsia="方正仿宋_GBK" w:hint="eastAsia"/>
          <w:bCs/>
          <w:sz w:val="32"/>
          <w:szCs w:val="32"/>
        </w:rPr>
        <w:t>家团科创工作室”。专家团成员在工作室至少发</w:t>
      </w:r>
      <w:r>
        <w:rPr>
          <w:rFonts w:ascii="Times New Roman" w:eastAsia="方正仿宋_GBK" w:hAnsi="Times New Roman"/>
          <w:bCs/>
          <w:sz w:val="32"/>
          <w:szCs w:val="32"/>
        </w:rPr>
        <w:t>布</w:t>
      </w:r>
      <w:r>
        <w:rPr>
          <w:rFonts w:ascii="Times New Roman" w:eastAsia="方正仿宋_GBK" w:hAnsi="Times New Roman"/>
          <w:bCs/>
          <w:sz w:val="32"/>
          <w:szCs w:val="32"/>
        </w:rPr>
        <w:t>20</w:t>
      </w:r>
      <w:r>
        <w:rPr>
          <w:rFonts w:ascii="Times New Roman" w:eastAsia="方正仿宋_GBK" w:hAnsi="Times New Roman"/>
          <w:bCs/>
          <w:sz w:val="32"/>
          <w:szCs w:val="32"/>
        </w:rPr>
        <w:t>项</w:t>
      </w:r>
      <w:r>
        <w:rPr>
          <w:rFonts w:ascii="方正仿宋_GBK" w:eastAsia="方正仿宋_GBK" w:hint="eastAsia"/>
          <w:bCs/>
          <w:sz w:val="32"/>
          <w:szCs w:val="32"/>
        </w:rPr>
        <w:t>可提</w:t>
      </w:r>
      <w:r>
        <w:rPr>
          <w:rFonts w:ascii="方正仿宋_GBK" w:eastAsia="方正仿宋_GBK" w:hint="eastAsia"/>
          <w:bCs/>
          <w:sz w:val="32"/>
          <w:szCs w:val="32"/>
        </w:rPr>
        <w:lastRenderedPageBreak/>
        <w:t>供的优质科技服务能力、可转化的优质科技成果、可推广的重大高新技术，其中向第三届“科创中国.天府科技云服务大会”至少推</w:t>
      </w:r>
      <w:r>
        <w:rPr>
          <w:rFonts w:ascii="Times New Roman" w:eastAsia="方正仿宋_GBK" w:hAnsi="Times New Roman"/>
          <w:bCs/>
          <w:sz w:val="32"/>
          <w:szCs w:val="32"/>
        </w:rPr>
        <w:t>荐</w:t>
      </w:r>
      <w:r>
        <w:rPr>
          <w:rFonts w:ascii="Times New Roman" w:eastAsia="方正仿宋_GBK" w:hAnsi="Times New Roman"/>
          <w:bCs/>
          <w:sz w:val="32"/>
          <w:szCs w:val="32"/>
        </w:rPr>
        <w:t>5</w:t>
      </w:r>
      <w:r>
        <w:rPr>
          <w:rFonts w:ascii="方正仿宋_GBK" w:eastAsia="方正仿宋_GBK" w:hint="eastAsia"/>
          <w:bCs/>
          <w:sz w:val="32"/>
          <w:szCs w:val="32"/>
        </w:rPr>
        <w:t>项优质科技成果或高新技术。</w:t>
      </w:r>
    </w:p>
    <w:p w:rsidR="00E7371C" w:rsidRDefault="00E7371C" w:rsidP="00E7371C">
      <w:pPr>
        <w:pStyle w:val="a9"/>
        <w:spacing w:before="0" w:beforeAutospacing="0" w:after="0" w:afterAutospacing="0"/>
        <w:ind w:firstLine="640"/>
        <w:jc w:val="both"/>
        <w:rPr>
          <w:rFonts w:ascii="方正仿宋_GBK" w:eastAsia="方正仿宋_GBK" w:cs="Times New Roman"/>
          <w:bCs/>
          <w:kern w:val="2"/>
          <w:sz w:val="32"/>
          <w:szCs w:val="32"/>
        </w:rPr>
      </w:pPr>
      <w:r>
        <w:rPr>
          <w:rFonts w:ascii="方正楷体_GBK" w:eastAsia="方正楷体_GBK" w:cs="Times New Roman" w:hint="eastAsia"/>
          <w:bCs/>
          <w:kern w:val="2"/>
          <w:sz w:val="32"/>
          <w:szCs w:val="32"/>
        </w:rPr>
        <w:t>（四）开展各类科技服务活动</w:t>
      </w:r>
      <w:r>
        <w:rPr>
          <w:rFonts w:ascii="方正楷体简体" w:eastAsia="方正楷体简体" w:cs="Times New Roman" w:hint="eastAsia"/>
          <w:bCs/>
          <w:kern w:val="2"/>
          <w:sz w:val="32"/>
          <w:szCs w:val="32"/>
        </w:rPr>
        <w:t>。</w:t>
      </w:r>
      <w:r>
        <w:rPr>
          <w:rFonts w:ascii="方正仿宋_GBK" w:eastAsia="方正仿宋_GBK" w:cs="Times New Roman" w:hint="eastAsia"/>
          <w:bCs/>
          <w:kern w:val="2"/>
          <w:sz w:val="32"/>
          <w:szCs w:val="32"/>
        </w:rPr>
        <w:t>专家团根据项目申报书，面向相关市县、产业、园区、企业、基地等，广泛开展科技服务、技术推广、成果转化、科技攻关等专项服务活动，并取得较明显的科技、经济和社会效益。</w:t>
      </w:r>
    </w:p>
    <w:p w:rsidR="00E7371C" w:rsidRDefault="00E7371C" w:rsidP="00E7371C">
      <w:pPr>
        <w:ind w:firstLine="640"/>
        <w:rPr>
          <w:rFonts w:ascii="方正仿宋_GBK" w:eastAsia="方正仿宋_GBK"/>
          <w:bCs/>
          <w:sz w:val="32"/>
          <w:szCs w:val="32"/>
        </w:rPr>
      </w:pPr>
      <w:r>
        <w:rPr>
          <w:rFonts w:ascii="方正楷体_GBK" w:eastAsia="方正楷体_GBK" w:hint="eastAsia"/>
          <w:bCs/>
          <w:sz w:val="32"/>
          <w:szCs w:val="32"/>
        </w:rPr>
        <w:t>（五）完成科技服务指标任务。</w:t>
      </w:r>
      <w:r>
        <w:rPr>
          <w:rFonts w:ascii="方正仿宋_GBK" w:eastAsia="方正仿宋_GBK" w:hint="eastAsia"/>
          <w:bCs/>
          <w:sz w:val="32"/>
          <w:szCs w:val="32"/>
        </w:rPr>
        <w:t>项目期内，每个专家团应依托天府科技云平台，开展科技服务</w:t>
      </w:r>
      <w:r>
        <w:rPr>
          <w:rFonts w:ascii="Times New Roman" w:eastAsia="方正仿宋_GBK" w:hAnsi="Times New Roman"/>
          <w:bCs/>
          <w:sz w:val="32"/>
          <w:szCs w:val="32"/>
        </w:rPr>
        <w:t>至少</w:t>
      </w:r>
      <w:r>
        <w:rPr>
          <w:rFonts w:ascii="Times New Roman" w:eastAsia="方正仿宋_GBK" w:hAnsi="Times New Roman"/>
          <w:bCs/>
          <w:sz w:val="32"/>
          <w:szCs w:val="32"/>
        </w:rPr>
        <w:t>5</w:t>
      </w:r>
      <w:r>
        <w:rPr>
          <w:rFonts w:ascii="Times New Roman" w:eastAsia="方正仿宋_GBK" w:hAnsi="Times New Roman"/>
          <w:bCs/>
          <w:sz w:val="32"/>
          <w:szCs w:val="32"/>
        </w:rPr>
        <w:t>项、推广先进技术至少</w:t>
      </w:r>
      <w:r>
        <w:rPr>
          <w:rFonts w:ascii="Times New Roman" w:eastAsia="方正仿宋_GBK" w:hAnsi="Times New Roman"/>
          <w:bCs/>
          <w:sz w:val="32"/>
          <w:szCs w:val="32"/>
        </w:rPr>
        <w:t>3</w:t>
      </w:r>
      <w:r>
        <w:rPr>
          <w:rFonts w:ascii="Times New Roman" w:eastAsia="方正仿宋_GBK" w:hAnsi="Times New Roman"/>
          <w:bCs/>
          <w:sz w:val="32"/>
          <w:szCs w:val="32"/>
        </w:rPr>
        <w:t>项、转化科技成果至少</w:t>
      </w:r>
      <w:r>
        <w:rPr>
          <w:rFonts w:ascii="Times New Roman" w:eastAsia="方正仿宋_GBK" w:hAnsi="Times New Roman"/>
          <w:bCs/>
          <w:sz w:val="32"/>
          <w:szCs w:val="32"/>
        </w:rPr>
        <w:t>1</w:t>
      </w:r>
      <w:r>
        <w:rPr>
          <w:rFonts w:ascii="Times New Roman" w:eastAsia="方正仿宋_GBK" w:hAnsi="Times New Roman"/>
          <w:bCs/>
          <w:sz w:val="32"/>
          <w:szCs w:val="32"/>
        </w:rPr>
        <w:t>项，通过市场机制达成的科技供需交易合作总金额应不低于</w:t>
      </w:r>
      <w:r>
        <w:rPr>
          <w:rFonts w:ascii="Times New Roman" w:eastAsia="方正仿宋_GBK" w:hAnsi="Times New Roman"/>
          <w:bCs/>
          <w:sz w:val="32"/>
          <w:szCs w:val="32"/>
        </w:rPr>
        <w:t>600</w:t>
      </w:r>
      <w:r>
        <w:rPr>
          <w:rFonts w:ascii="Times New Roman" w:eastAsia="方正仿宋_GBK" w:hAnsi="Times New Roman"/>
          <w:bCs/>
          <w:sz w:val="32"/>
          <w:szCs w:val="32"/>
        </w:rPr>
        <w:t>万元（以天府科技云平台数据为准）；项目期内，提交至少</w:t>
      </w:r>
      <w:r>
        <w:rPr>
          <w:rFonts w:ascii="Times New Roman" w:eastAsia="方正仿宋_GBK" w:hAnsi="Times New Roman"/>
          <w:bCs/>
          <w:sz w:val="32"/>
          <w:szCs w:val="32"/>
        </w:rPr>
        <w:t>1</w:t>
      </w:r>
      <w:r>
        <w:rPr>
          <w:rFonts w:ascii="Times New Roman" w:eastAsia="方正仿宋_GBK" w:hAnsi="Times New Roman"/>
          <w:bCs/>
          <w:sz w:val="32"/>
          <w:szCs w:val="32"/>
        </w:rPr>
        <w:t>个推动技术转移转化的典型成功案例。若实现重大技术转移转化并取得重大成效</w:t>
      </w:r>
      <w:r>
        <w:rPr>
          <w:rFonts w:ascii="Times New Roman" w:eastAsia="方正仿宋_GBK" w:hAnsi="Times New Roman"/>
          <w:bCs/>
          <w:sz w:val="32"/>
          <w:szCs w:val="32"/>
        </w:rPr>
        <w:t>1</w:t>
      </w:r>
      <w:r>
        <w:rPr>
          <w:rFonts w:ascii="方正仿宋_GBK" w:eastAsia="方正仿宋_GBK" w:hint="eastAsia"/>
          <w:bCs/>
          <w:sz w:val="32"/>
          <w:szCs w:val="32"/>
        </w:rPr>
        <w:t>项以上，或研制的相关产业技术规划、决策咨询报告等获得省部级及以上领导或省委省政府部门及以上的肯定批示，上述量化指标任务可适当抵减，次年可优先申报该项目。</w:t>
      </w:r>
    </w:p>
    <w:p w:rsidR="00E7371C" w:rsidRDefault="00E7371C" w:rsidP="00E92C07">
      <w:pPr>
        <w:pStyle w:val="a9"/>
        <w:spacing w:before="0" w:beforeAutospacing="0" w:after="0" w:afterAutospacing="0"/>
        <w:ind w:firstLine="640"/>
        <w:jc w:val="both"/>
        <w:rPr>
          <w:rFonts w:ascii="方正仿宋_GBK" w:eastAsia="方正仿宋_GBK" w:cs="Times New Roman"/>
          <w:bCs/>
          <w:kern w:val="2"/>
          <w:sz w:val="32"/>
          <w:szCs w:val="32"/>
        </w:rPr>
      </w:pPr>
      <w:r>
        <w:rPr>
          <w:rFonts w:ascii="方正楷体_GBK" w:eastAsia="方正楷体_GBK" w:cs="Times New Roman" w:hint="eastAsia"/>
          <w:bCs/>
          <w:kern w:val="2"/>
          <w:sz w:val="32"/>
          <w:szCs w:val="32"/>
        </w:rPr>
        <w:t>（六）建立专家团科服保姆工作机制。</w:t>
      </w:r>
      <w:r>
        <w:rPr>
          <w:rFonts w:ascii="方正仿宋_GBK" w:eastAsia="方正仿宋_GBK" w:cs="Times New Roman" w:hint="eastAsia"/>
          <w:bCs/>
          <w:kern w:val="2"/>
          <w:sz w:val="32"/>
          <w:szCs w:val="32"/>
        </w:rPr>
        <w:t>立项学会秘书处，应为每个专家团确定一名“科服保姆”，并在天府科技云注册，重点做好专家团与天府科技云平台对接工作，为专家团通过天府科技云平台进行科技供需交易提供全程、精准、常态化的“保姆式”</w:t>
      </w:r>
      <w:bookmarkStart w:id="0" w:name="_GoBack"/>
      <w:bookmarkEnd w:id="0"/>
      <w:r>
        <w:rPr>
          <w:rFonts w:ascii="方正仿宋_GBK" w:eastAsia="方正仿宋_GBK" w:cs="Times New Roman" w:hint="eastAsia"/>
          <w:bCs/>
          <w:kern w:val="2"/>
          <w:sz w:val="32"/>
          <w:szCs w:val="32"/>
        </w:rPr>
        <w:t>服务。</w:t>
      </w:r>
    </w:p>
    <w:p w:rsidR="00E7371C" w:rsidRDefault="00E7371C" w:rsidP="00E7371C">
      <w:pPr>
        <w:pStyle w:val="a9"/>
        <w:spacing w:before="0" w:beforeAutospacing="0" w:after="0" w:afterAutospacing="0"/>
        <w:ind w:firstLine="640"/>
        <w:jc w:val="both"/>
        <w:rPr>
          <w:rFonts w:ascii="方正仿宋_GBK" w:eastAsia="方正仿宋_GBK" w:cs="Times New Roman"/>
          <w:bCs/>
          <w:kern w:val="2"/>
          <w:sz w:val="32"/>
          <w:szCs w:val="32"/>
        </w:rPr>
      </w:pPr>
      <w:r>
        <w:rPr>
          <w:rFonts w:ascii="方正楷体_GBK" w:eastAsia="方正楷体_GBK" w:cs="Times New Roman" w:hint="eastAsia"/>
          <w:bCs/>
          <w:kern w:val="2"/>
          <w:sz w:val="32"/>
          <w:szCs w:val="32"/>
        </w:rPr>
        <w:t>（七）建立中期督查和结项评价机制。</w:t>
      </w:r>
      <w:r>
        <w:rPr>
          <w:rFonts w:ascii="方正仿宋_GBK" w:eastAsia="方正仿宋_GBK" w:cs="Times New Roman" w:hint="eastAsia"/>
          <w:bCs/>
          <w:kern w:val="2"/>
          <w:sz w:val="32"/>
          <w:szCs w:val="32"/>
        </w:rPr>
        <w:t>项目实施期内，主要以天府科技云平台的实时数据接受中期督查和结项评</w:t>
      </w:r>
      <w:r>
        <w:rPr>
          <w:rFonts w:ascii="方正仿宋_GBK" w:eastAsia="方正仿宋_GBK" w:cs="Times New Roman" w:hint="eastAsia"/>
          <w:bCs/>
          <w:kern w:val="2"/>
          <w:sz w:val="32"/>
          <w:szCs w:val="32"/>
        </w:rPr>
        <w:lastRenderedPageBreak/>
        <w:t>估。项目周期内，应完成服务方案拟定的服务内容。省科协、财政厅将对专家团服务质量和服务完成项目进行评优，结果在科创中国·天府科技云服务大会发布并颁奖。</w:t>
      </w:r>
    </w:p>
    <w:p w:rsidR="00E7371C" w:rsidRDefault="00E7371C" w:rsidP="00E7371C">
      <w:pPr>
        <w:suppressAutoHyphens/>
        <w:ind w:firstLine="640"/>
        <w:rPr>
          <w:rFonts w:ascii="方正黑体_GBK" w:eastAsia="方正黑体_GBK"/>
          <w:bCs/>
          <w:sz w:val="32"/>
          <w:szCs w:val="32"/>
        </w:rPr>
      </w:pPr>
      <w:r>
        <w:rPr>
          <w:rFonts w:ascii="方正黑体_GBK" w:eastAsia="方正黑体_GBK" w:hint="eastAsia"/>
          <w:bCs/>
          <w:sz w:val="32"/>
          <w:szCs w:val="32"/>
        </w:rPr>
        <w:t xml:space="preserve">二、工作流程 </w:t>
      </w:r>
    </w:p>
    <w:p w:rsidR="00E7371C" w:rsidRDefault="00E7371C" w:rsidP="00E7371C">
      <w:pPr>
        <w:suppressAutoHyphens/>
        <w:ind w:firstLine="640"/>
        <w:rPr>
          <w:rFonts w:ascii="Times New Roman" w:eastAsia="方正仿宋_GBK" w:hAnsi="Times New Roman"/>
          <w:bCs/>
          <w:sz w:val="32"/>
          <w:szCs w:val="32"/>
        </w:rPr>
      </w:pPr>
      <w:r>
        <w:rPr>
          <w:rFonts w:ascii="楷体_GB2312" w:eastAsia="楷体_GB2312" w:hint="eastAsia"/>
          <w:bCs/>
          <w:sz w:val="32"/>
          <w:szCs w:val="32"/>
        </w:rPr>
        <w:t>（一）项目征集。</w:t>
      </w:r>
      <w:r>
        <w:rPr>
          <w:rFonts w:ascii="Times New Roman" w:eastAsia="方正仿宋_GBK" w:hAnsi="Times New Roman"/>
          <w:bCs/>
          <w:sz w:val="32"/>
          <w:szCs w:val="32"/>
        </w:rPr>
        <w:t>2023</w:t>
      </w:r>
      <w:r>
        <w:rPr>
          <w:rFonts w:ascii="Times New Roman" w:eastAsia="方正仿宋_GBK" w:hAnsi="Times New Roman"/>
          <w:bCs/>
          <w:sz w:val="32"/>
          <w:szCs w:val="32"/>
        </w:rPr>
        <w:t>年</w:t>
      </w:r>
      <w:r>
        <w:rPr>
          <w:rFonts w:ascii="Times New Roman" w:eastAsia="方正仿宋_GBK" w:hAnsi="Times New Roman"/>
          <w:bCs/>
          <w:sz w:val="32"/>
          <w:szCs w:val="32"/>
        </w:rPr>
        <w:t>6</w:t>
      </w:r>
      <w:r>
        <w:rPr>
          <w:rFonts w:ascii="Times New Roman" w:eastAsia="方正仿宋_GBK" w:hAnsi="Times New Roman"/>
          <w:bCs/>
          <w:sz w:val="32"/>
          <w:szCs w:val="32"/>
        </w:rPr>
        <w:t>月中旬。财政厅、省科协联合发布项目申报指南，组织开展项目征集工作。项目申报平台为天府科技云平台（网址：</w:t>
      </w:r>
      <w:r>
        <w:rPr>
          <w:rFonts w:ascii="Times New Roman" w:eastAsia="方正仿宋_GBK" w:hAnsi="Times New Roman"/>
          <w:bCs/>
          <w:sz w:val="32"/>
          <w:szCs w:val="32"/>
        </w:rPr>
        <w:t>https://www.tfkjy.cn</w:t>
      </w:r>
      <w:r>
        <w:rPr>
          <w:rFonts w:ascii="Times New Roman" w:eastAsia="方正仿宋_GBK" w:hAnsi="Times New Roman"/>
          <w:bCs/>
          <w:sz w:val="32"/>
          <w:szCs w:val="32"/>
        </w:rPr>
        <w:t>）。申报主体需提前在平台注册工作室（注册方式详见：</w:t>
      </w:r>
      <w:r>
        <w:rPr>
          <w:rFonts w:ascii="方正仿宋_GBK" w:eastAsia="方正仿宋_GBK" w:hint="eastAsia"/>
          <w:bCs/>
          <w:sz w:val="32"/>
          <w:szCs w:val="32"/>
        </w:rPr>
        <w:t>https://mp.weixin.qq.com/s/gvDQjNbkcB8Rb1o4qn4LTA</w:t>
      </w:r>
      <w:r>
        <w:rPr>
          <w:rFonts w:ascii="Times New Roman" w:eastAsia="方正仿宋_GBK" w:hAnsi="Times New Roman"/>
          <w:bCs/>
          <w:sz w:val="32"/>
          <w:szCs w:val="32"/>
        </w:rPr>
        <w:t>）。成</w:t>
      </w:r>
      <w:r>
        <w:rPr>
          <w:rFonts w:ascii="方正仿宋_GBK" w:eastAsia="方正仿宋_GBK" w:hint="eastAsia"/>
          <w:bCs/>
          <w:sz w:val="32"/>
          <w:szCs w:val="32"/>
        </w:rPr>
        <w:t>功开设工作室后，在【科技服务—竞标大厅】中找到天府科技云专家团“深耕”赋能行动采购项目，参与应标。线上在天府科技云平台提交的应标文件（即项目申报书）必须为加盖机构鲜章的扫描</w:t>
      </w:r>
      <w:r>
        <w:rPr>
          <w:rFonts w:ascii="Times New Roman" w:eastAsia="方正仿宋_GBK" w:hAnsi="Times New Roman"/>
          <w:bCs/>
          <w:sz w:val="32"/>
          <w:szCs w:val="32"/>
        </w:rPr>
        <w:t>文件（</w:t>
      </w:r>
      <w:r>
        <w:rPr>
          <w:rFonts w:ascii="Times New Roman" w:eastAsia="方正仿宋_GBK" w:hAnsi="Times New Roman"/>
          <w:bCs/>
          <w:sz w:val="32"/>
          <w:szCs w:val="32"/>
        </w:rPr>
        <w:t>PDF</w:t>
      </w:r>
      <w:r>
        <w:rPr>
          <w:rFonts w:ascii="Times New Roman" w:eastAsia="方正仿宋_GBK" w:hAnsi="Times New Roman"/>
          <w:bCs/>
          <w:sz w:val="32"/>
          <w:szCs w:val="32"/>
        </w:rPr>
        <w:t>格式）。线下申报材料包括项目申报书一式</w:t>
      </w:r>
      <w:r>
        <w:rPr>
          <w:rFonts w:ascii="Times New Roman" w:eastAsia="方正仿宋_GBK" w:hAnsi="Times New Roman"/>
          <w:bCs/>
          <w:sz w:val="32"/>
          <w:szCs w:val="32"/>
        </w:rPr>
        <w:t>3</w:t>
      </w:r>
      <w:r>
        <w:rPr>
          <w:rFonts w:ascii="Times New Roman" w:eastAsia="方正仿宋_GBK" w:hAnsi="Times New Roman"/>
          <w:bCs/>
          <w:sz w:val="32"/>
          <w:szCs w:val="32"/>
        </w:rPr>
        <w:t>份（需加盖机构鲜章</w:t>
      </w:r>
      <w:r>
        <w:rPr>
          <w:rFonts w:ascii="Times New Roman" w:eastAsia="方正仿宋_GBK" w:hAnsi="Times New Roman"/>
          <w:bCs/>
          <w:sz w:val="32"/>
          <w:szCs w:val="32"/>
        </w:rPr>
        <w:t>,</w:t>
      </w:r>
      <w:r>
        <w:rPr>
          <w:rFonts w:ascii="Times New Roman" w:eastAsia="方正仿宋_GBK" w:hAnsi="Times New Roman"/>
          <w:bCs/>
          <w:sz w:val="32"/>
          <w:szCs w:val="32"/>
        </w:rPr>
        <w:t>且与线上应标文件内容一致，</w:t>
      </w:r>
      <w:r>
        <w:rPr>
          <w:rFonts w:ascii="Times New Roman" w:eastAsia="方正仿宋_GBK" w:hAnsi="Times New Roman"/>
          <w:bCs/>
          <w:sz w:val="32"/>
          <w:szCs w:val="32"/>
        </w:rPr>
        <w:t>word</w:t>
      </w:r>
      <w:r>
        <w:rPr>
          <w:rFonts w:ascii="Times New Roman" w:eastAsia="方正仿宋_GBK" w:hAnsi="Times New Roman"/>
          <w:bCs/>
          <w:sz w:val="32"/>
          <w:szCs w:val="32"/>
        </w:rPr>
        <w:t>格式电子版一并提交），迳送四川省科协（成都市武侯区人民南路四段</w:t>
      </w:r>
      <w:r>
        <w:rPr>
          <w:rFonts w:ascii="Times New Roman" w:eastAsia="方正仿宋_GBK" w:hAnsi="Times New Roman"/>
          <w:bCs/>
          <w:sz w:val="32"/>
          <w:szCs w:val="32"/>
        </w:rPr>
        <w:t>11</w:t>
      </w:r>
      <w:r>
        <w:rPr>
          <w:rFonts w:ascii="Times New Roman" w:eastAsia="方正仿宋_GBK" w:hAnsi="Times New Roman"/>
          <w:bCs/>
          <w:sz w:val="32"/>
          <w:szCs w:val="32"/>
        </w:rPr>
        <w:t>号）。线上提交应标文件及线下报送材料截止日期为</w:t>
      </w:r>
      <w:r>
        <w:rPr>
          <w:rFonts w:ascii="Times New Roman" w:eastAsia="方正仿宋_GBK" w:hAnsi="Times New Roman"/>
          <w:bCs/>
          <w:sz w:val="32"/>
          <w:szCs w:val="32"/>
        </w:rPr>
        <w:t>2023</w:t>
      </w:r>
      <w:r>
        <w:rPr>
          <w:rFonts w:ascii="Times New Roman" w:eastAsia="方正仿宋_GBK" w:hAnsi="Times New Roman"/>
          <w:bCs/>
          <w:sz w:val="32"/>
          <w:szCs w:val="32"/>
        </w:rPr>
        <w:t>年</w:t>
      </w:r>
      <w:r>
        <w:rPr>
          <w:rFonts w:ascii="Times New Roman" w:eastAsia="方正仿宋_GBK" w:hAnsi="Times New Roman"/>
          <w:bCs/>
          <w:sz w:val="32"/>
          <w:szCs w:val="32"/>
        </w:rPr>
        <w:t>6</w:t>
      </w:r>
      <w:r>
        <w:rPr>
          <w:rFonts w:ascii="Times New Roman" w:eastAsia="方正仿宋_GBK" w:hAnsi="Times New Roman"/>
          <w:bCs/>
          <w:sz w:val="32"/>
          <w:szCs w:val="32"/>
        </w:rPr>
        <w:t>月</w:t>
      </w:r>
      <w:r>
        <w:rPr>
          <w:rFonts w:ascii="Times New Roman" w:eastAsia="方正仿宋_GBK" w:hAnsi="Times New Roman"/>
          <w:bCs/>
          <w:sz w:val="32"/>
          <w:szCs w:val="32"/>
        </w:rPr>
        <w:t>26</w:t>
      </w:r>
      <w:r>
        <w:rPr>
          <w:rFonts w:ascii="Times New Roman" w:eastAsia="方正仿宋_GBK" w:hAnsi="Times New Roman"/>
          <w:bCs/>
          <w:sz w:val="32"/>
          <w:szCs w:val="32"/>
        </w:rPr>
        <w:t>日，逾期将不予受理。</w:t>
      </w:r>
    </w:p>
    <w:p w:rsidR="00E7371C" w:rsidRDefault="00E7371C" w:rsidP="00E7371C">
      <w:pPr>
        <w:suppressAutoHyphens/>
        <w:ind w:firstLineChars="0" w:firstLine="644"/>
        <w:rPr>
          <w:rFonts w:ascii="方正仿宋_GBK" w:eastAsia="方正仿宋_GBK"/>
          <w:bCs/>
          <w:sz w:val="32"/>
          <w:szCs w:val="32"/>
        </w:rPr>
      </w:pPr>
      <w:r>
        <w:rPr>
          <w:rFonts w:ascii="Times New Roman" w:eastAsia="楷体_GB2312" w:hAnsi="Times New Roman"/>
          <w:bCs/>
          <w:sz w:val="32"/>
          <w:szCs w:val="32"/>
        </w:rPr>
        <w:t>（二）立项评审。</w:t>
      </w:r>
      <w:r>
        <w:rPr>
          <w:rFonts w:ascii="Times New Roman" w:eastAsia="方正仿宋_GBK" w:hAnsi="Times New Roman"/>
          <w:bCs/>
          <w:sz w:val="32"/>
          <w:szCs w:val="32"/>
        </w:rPr>
        <w:t>2023</w:t>
      </w:r>
      <w:r>
        <w:rPr>
          <w:rFonts w:ascii="Times New Roman" w:eastAsia="方正仿宋_GBK" w:hAnsi="Times New Roman"/>
          <w:bCs/>
          <w:sz w:val="32"/>
          <w:szCs w:val="32"/>
        </w:rPr>
        <w:t>年</w:t>
      </w:r>
      <w:r>
        <w:rPr>
          <w:rFonts w:ascii="Times New Roman" w:eastAsia="方正仿宋_GBK" w:hAnsi="Times New Roman"/>
          <w:bCs/>
          <w:sz w:val="32"/>
          <w:szCs w:val="32"/>
        </w:rPr>
        <w:t>6</w:t>
      </w:r>
      <w:r>
        <w:rPr>
          <w:rFonts w:ascii="Times New Roman" w:eastAsia="方正仿宋_GBK" w:hAnsi="Times New Roman"/>
          <w:bCs/>
          <w:sz w:val="32"/>
          <w:szCs w:val="32"/>
        </w:rPr>
        <w:t>月下旬。省科协负责对申报项</w:t>
      </w:r>
      <w:r>
        <w:rPr>
          <w:rFonts w:ascii="方正仿宋_GBK" w:eastAsia="方正仿宋_GBK" w:hint="eastAsia"/>
          <w:bCs/>
          <w:sz w:val="32"/>
          <w:szCs w:val="32"/>
        </w:rPr>
        <w:t>目进行形式审查，并通过天府科技云自动生成各专家团的创新能力和贡献分值，在此基础上由省科协、财政厅组织开展项目立项评审，综合专家评审分和天府科技云自动生成的客观分，确定入选项目，并在项目申报平台进行公示，公示无异议后，下达立项通知书。</w:t>
      </w:r>
    </w:p>
    <w:p w:rsidR="00E7371C" w:rsidRDefault="00E7371C" w:rsidP="00E7371C">
      <w:pPr>
        <w:suppressAutoHyphens/>
        <w:ind w:firstLineChars="0" w:firstLine="644"/>
        <w:rPr>
          <w:rFonts w:ascii="方正仿宋_GBK" w:eastAsia="方正仿宋_GBK"/>
          <w:bCs/>
          <w:sz w:val="32"/>
          <w:szCs w:val="32"/>
        </w:rPr>
      </w:pPr>
      <w:r>
        <w:rPr>
          <w:rFonts w:ascii="楷体_GB2312" w:eastAsia="楷体_GB2312" w:hint="eastAsia"/>
          <w:bCs/>
          <w:sz w:val="32"/>
          <w:szCs w:val="32"/>
        </w:rPr>
        <w:lastRenderedPageBreak/>
        <w:t>（三）经费划拨。</w:t>
      </w:r>
      <w:r>
        <w:rPr>
          <w:rFonts w:ascii="方正仿宋_GBK" w:eastAsia="方正仿宋_GBK" w:hint="eastAsia"/>
          <w:bCs/>
          <w:sz w:val="32"/>
          <w:szCs w:val="32"/>
        </w:rPr>
        <w:t>申报项目立项获批后，申报主体与省科协签订项目实施协议，专项资金审批程序完成后，财政厅依据协议拨付项目经费。</w:t>
      </w:r>
    </w:p>
    <w:p w:rsidR="00E7371C" w:rsidRDefault="00E7371C" w:rsidP="00E7371C">
      <w:pPr>
        <w:suppressAutoHyphens/>
        <w:ind w:firstLineChars="0" w:firstLine="644"/>
        <w:rPr>
          <w:rFonts w:ascii="方正仿宋_GBK" w:eastAsia="方正仿宋_GBK"/>
          <w:bCs/>
          <w:sz w:val="32"/>
          <w:szCs w:val="32"/>
        </w:rPr>
      </w:pPr>
      <w:r>
        <w:rPr>
          <w:rFonts w:ascii="Times New Roman" w:eastAsia="楷体_GB2312" w:hAnsi="Times New Roman"/>
          <w:bCs/>
          <w:sz w:val="32"/>
          <w:szCs w:val="32"/>
        </w:rPr>
        <w:t>（四）结项评审。</w:t>
      </w:r>
      <w:r>
        <w:rPr>
          <w:rFonts w:ascii="Times New Roman" w:eastAsia="方正仿宋_GBK" w:hAnsi="Times New Roman"/>
          <w:bCs/>
          <w:sz w:val="32"/>
          <w:szCs w:val="32"/>
        </w:rPr>
        <w:t>2024</w:t>
      </w:r>
      <w:r>
        <w:rPr>
          <w:rFonts w:ascii="Times New Roman" w:eastAsia="方正仿宋_GBK" w:hAnsi="Times New Roman"/>
          <w:bCs/>
          <w:sz w:val="32"/>
          <w:szCs w:val="32"/>
        </w:rPr>
        <w:t>年</w:t>
      </w:r>
      <w:r>
        <w:rPr>
          <w:rFonts w:ascii="Times New Roman" w:eastAsia="方正仿宋_GBK" w:hAnsi="Times New Roman"/>
          <w:bCs/>
          <w:sz w:val="32"/>
          <w:szCs w:val="32"/>
        </w:rPr>
        <w:t>1</w:t>
      </w:r>
      <w:r>
        <w:rPr>
          <w:rFonts w:ascii="Times New Roman" w:eastAsia="方正仿宋_GBK" w:hAnsi="Times New Roman"/>
          <w:bCs/>
          <w:sz w:val="32"/>
          <w:szCs w:val="32"/>
        </w:rPr>
        <w:t>月底前。项目实施周期期满后，</w:t>
      </w:r>
      <w:r>
        <w:rPr>
          <w:rFonts w:ascii="方正仿宋_GBK" w:eastAsia="方正仿宋_GBK" w:hint="eastAsia"/>
          <w:bCs/>
          <w:sz w:val="32"/>
          <w:szCs w:val="32"/>
        </w:rPr>
        <w:t>依托天府科技云平台实时数据，省科协、财政厅联合组织开展项目评审，进行绩效评估，未达到项目实施要求的，绩效评估不合格，从下达绩效评估结果通知之日起，给予一个月时间限期整改，截至限期整改时间，仍未达到项目实施要求的，项目申报主体需全额退还项目经费，且取消下一年度项目申报资格；从绩效评估合格项目中评选优秀项目，优秀项目申报主体可优先申报下一年度项目。</w:t>
      </w:r>
    </w:p>
    <w:p w:rsidR="00E7371C" w:rsidRDefault="00E7371C" w:rsidP="00E7371C">
      <w:pPr>
        <w:suppressAutoHyphens/>
        <w:ind w:firstLine="640"/>
        <w:rPr>
          <w:rFonts w:ascii="方正黑体_GBK" w:eastAsia="方正黑体_GBK"/>
          <w:bCs/>
          <w:sz w:val="32"/>
          <w:szCs w:val="32"/>
        </w:rPr>
      </w:pPr>
      <w:r>
        <w:rPr>
          <w:rFonts w:ascii="方正黑体_GBK" w:eastAsia="方正黑体_GBK" w:hint="eastAsia"/>
          <w:bCs/>
          <w:sz w:val="32"/>
          <w:szCs w:val="32"/>
        </w:rPr>
        <w:t>三、其他事项</w:t>
      </w:r>
    </w:p>
    <w:p w:rsidR="00E7371C" w:rsidRDefault="00E7371C" w:rsidP="00E7371C">
      <w:pPr>
        <w:suppressAutoHyphens/>
        <w:ind w:firstLine="640"/>
        <w:rPr>
          <w:rFonts w:ascii="方正仿宋_GBK" w:eastAsia="方正仿宋_GBK"/>
          <w:bCs/>
          <w:sz w:val="32"/>
          <w:szCs w:val="32"/>
        </w:rPr>
      </w:pPr>
      <w:r>
        <w:rPr>
          <w:rFonts w:ascii="方正仿宋_GBK" w:eastAsia="方正仿宋_GBK" w:hint="eastAsia"/>
          <w:bCs/>
          <w:sz w:val="32"/>
          <w:szCs w:val="32"/>
        </w:rPr>
        <w:t>立项学会应建立项目管理制度，以提高经费使用效率和产出为基本导向，应匹配除专项经费外相应工作费用，给予专家团充足经费保障。项目经费管理由领衔专家负总责，专项经费使用严格遵照《四川省科普专项资金管</w:t>
      </w:r>
      <w:r>
        <w:rPr>
          <w:rFonts w:ascii="Times New Roman" w:eastAsia="方正仿宋_GBK" w:hAnsi="Times New Roman"/>
          <w:bCs/>
          <w:sz w:val="32"/>
          <w:szCs w:val="32"/>
        </w:rPr>
        <w:t>理办法》（川财教〔</w:t>
      </w:r>
      <w:r>
        <w:rPr>
          <w:rFonts w:ascii="Times New Roman" w:eastAsia="方正仿宋_GBK" w:hAnsi="Times New Roman"/>
          <w:bCs/>
          <w:sz w:val="32"/>
          <w:szCs w:val="32"/>
        </w:rPr>
        <w:t>2020</w:t>
      </w:r>
      <w:r>
        <w:rPr>
          <w:rFonts w:ascii="Times New Roman" w:eastAsia="方正仿宋_GBK" w:hAnsi="Times New Roman"/>
          <w:bCs/>
          <w:sz w:val="32"/>
          <w:szCs w:val="32"/>
        </w:rPr>
        <w:t>〕</w:t>
      </w:r>
      <w:r>
        <w:rPr>
          <w:rFonts w:ascii="Times New Roman" w:eastAsia="方正仿宋_GBK" w:hAnsi="Times New Roman"/>
          <w:bCs/>
          <w:sz w:val="32"/>
          <w:szCs w:val="32"/>
        </w:rPr>
        <w:t>83</w:t>
      </w:r>
      <w:r>
        <w:rPr>
          <w:rFonts w:ascii="Times New Roman" w:eastAsia="方正仿宋_GBK" w:hAnsi="Times New Roman"/>
          <w:bCs/>
          <w:sz w:val="32"/>
          <w:szCs w:val="32"/>
        </w:rPr>
        <w:t>号）</w:t>
      </w:r>
      <w:r>
        <w:rPr>
          <w:rFonts w:ascii="方正仿宋_GBK" w:eastAsia="方正仿宋_GBK" w:hint="eastAsia"/>
          <w:bCs/>
          <w:sz w:val="32"/>
          <w:szCs w:val="32"/>
        </w:rPr>
        <w:t>有关规定执行，不得用于与本项目无关的其他支出。</w:t>
      </w:r>
    </w:p>
    <w:p w:rsidR="00E7371C" w:rsidRDefault="00E7371C" w:rsidP="00E7371C">
      <w:pPr>
        <w:suppressAutoHyphens/>
        <w:ind w:firstLine="640"/>
        <w:rPr>
          <w:rFonts w:ascii="方正仿宋_GBK" w:eastAsia="方正仿宋_GBK"/>
          <w:bCs/>
          <w:sz w:val="32"/>
          <w:szCs w:val="32"/>
        </w:rPr>
      </w:pPr>
      <w:r>
        <w:rPr>
          <w:rFonts w:ascii="Times New Roman" w:eastAsia="方正仿宋简体" w:hAnsi="Times New Roman" w:hint="eastAsia"/>
          <w:bCs/>
          <w:kern w:val="0"/>
          <w:sz w:val="32"/>
          <w:szCs w:val="32"/>
        </w:rPr>
        <w:t>近两年获评省科协一流学会（优秀学会）的省级学会，</w:t>
      </w:r>
      <w:r>
        <w:rPr>
          <w:rFonts w:ascii="方正仿宋_GBK" w:eastAsia="方正仿宋_GBK" w:hint="eastAsia"/>
          <w:bCs/>
          <w:sz w:val="32"/>
          <w:szCs w:val="32"/>
        </w:rPr>
        <w:t>在立项评审中同等条件下优先。有下列情形之一的，不得申报：省级学会年检结论最近一次为“不合格”或最近两年连续为“基本合格”的；省级学会两年内受到民政厅或相关行政主管部门行政处罚的；省级学会两年内被四川省科协通报并限</w:t>
      </w:r>
      <w:r>
        <w:rPr>
          <w:rFonts w:ascii="方正仿宋_GBK" w:eastAsia="方正仿宋_GBK" w:hint="eastAsia"/>
          <w:bCs/>
          <w:sz w:val="32"/>
          <w:szCs w:val="32"/>
        </w:rPr>
        <w:lastRenderedPageBreak/>
        <w:t>期整改的。</w:t>
      </w:r>
    </w:p>
    <w:p w:rsidR="00E7371C" w:rsidRDefault="00E7371C" w:rsidP="00E7371C">
      <w:pPr>
        <w:suppressAutoHyphens/>
        <w:ind w:firstLine="640"/>
        <w:rPr>
          <w:rFonts w:ascii="方正仿宋_GBK" w:eastAsia="方正仿宋_GBK"/>
          <w:bCs/>
          <w:sz w:val="32"/>
          <w:szCs w:val="32"/>
        </w:rPr>
      </w:pPr>
    </w:p>
    <w:p w:rsidR="00E7371C" w:rsidRDefault="00E7371C" w:rsidP="00E7371C">
      <w:pPr>
        <w:ind w:firstLine="420"/>
      </w:pPr>
    </w:p>
    <w:p w:rsidR="00E7371C" w:rsidRDefault="00E7371C" w:rsidP="00E7371C">
      <w:pPr>
        <w:pStyle w:val="a0"/>
        <w:ind w:firstLine="420"/>
      </w:pPr>
    </w:p>
    <w:p w:rsidR="00E7371C" w:rsidRDefault="00E7371C" w:rsidP="00E7371C">
      <w:pPr>
        <w:ind w:firstLine="420"/>
      </w:pPr>
    </w:p>
    <w:p w:rsidR="00A82951" w:rsidRPr="00E7371C" w:rsidRDefault="00A82951">
      <w:pPr>
        <w:ind w:firstLine="420"/>
      </w:pPr>
    </w:p>
    <w:sectPr w:rsidR="00A82951" w:rsidRPr="00E7371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79E9" w:rsidRDefault="007F79E9" w:rsidP="00E7371C">
      <w:pPr>
        <w:spacing w:line="240" w:lineRule="auto"/>
        <w:ind w:firstLine="420"/>
      </w:pPr>
      <w:r>
        <w:separator/>
      </w:r>
    </w:p>
  </w:endnote>
  <w:endnote w:type="continuationSeparator" w:id="0">
    <w:p w:rsidR="007F79E9" w:rsidRDefault="007F79E9" w:rsidP="00E7371C">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仿宋_GBK">
    <w:altName w:val="Microsoft YaHei UI"/>
    <w:charset w:val="86"/>
    <w:family w:val="script"/>
    <w:pitch w:val="variable"/>
    <w:sig w:usb0="00000000" w:usb1="080E0000" w:usb2="00000010" w:usb3="00000000" w:csb0="00040000" w:csb1="00000000"/>
  </w:font>
  <w:font w:name="方正大标宋_GBK">
    <w:altName w:val="Microsoft YaHei UI"/>
    <w:charset w:val="86"/>
    <w:family w:val="script"/>
    <w:pitch w:val="variable"/>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简体">
    <w:altName w:val="微软雅黑"/>
    <w:charset w:val="86"/>
    <w:family w:val="auto"/>
    <w:pitch w:val="variable"/>
    <w:sig w:usb0="00000000" w:usb1="080E0000" w:usb2="00000010" w:usb3="00000000" w:csb0="00040000" w:csb1="00000000"/>
  </w:font>
  <w:font w:name="方正黑体_GBK">
    <w:altName w:val="Microsoft YaHei UI"/>
    <w:charset w:val="86"/>
    <w:family w:val="script"/>
    <w:pitch w:val="variable"/>
    <w:sig w:usb0="00000000" w:usb1="080E0000" w:usb2="00000010" w:usb3="00000000" w:csb0="00040000" w:csb1="00000000"/>
  </w:font>
  <w:font w:name="方正楷体_GBK">
    <w:altName w:val="Microsoft YaHei UI"/>
    <w:charset w:val="86"/>
    <w:family w:val="script"/>
    <w:pitch w:val="variable"/>
    <w:sig w:usb0="00000000" w:usb1="080E0000" w:usb2="00000010" w:usb3="00000000" w:csb0="00040000" w:csb1="00000000"/>
  </w:font>
  <w:font w:name="方正楷体简体">
    <w:altName w:val="微软雅黑"/>
    <w:charset w:val="86"/>
    <w:family w:val="auto"/>
    <w:pitch w:val="variable"/>
    <w:sig w:usb0="00000000" w:usb1="080E0000" w:usb2="00000010" w:usb3="00000000" w:csb0="00040000" w:csb1="00000000"/>
  </w:font>
  <w:font w:name="楷体_GB2312">
    <w:altName w:val="楷体"/>
    <w:charset w:val="86"/>
    <w:family w:val="modern"/>
    <w:pitch w:val="variable"/>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79E9" w:rsidRDefault="007F79E9" w:rsidP="00E7371C">
      <w:pPr>
        <w:spacing w:line="240" w:lineRule="auto"/>
        <w:ind w:firstLine="420"/>
      </w:pPr>
      <w:r>
        <w:separator/>
      </w:r>
    </w:p>
  </w:footnote>
  <w:footnote w:type="continuationSeparator" w:id="0">
    <w:p w:rsidR="007F79E9" w:rsidRDefault="007F79E9" w:rsidP="00E7371C">
      <w:pPr>
        <w:spacing w:line="240" w:lineRule="auto"/>
        <w:ind w:firstLine="42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D81"/>
    <w:rsid w:val="005C651B"/>
    <w:rsid w:val="007F79E9"/>
    <w:rsid w:val="00A82951"/>
    <w:rsid w:val="00E7371C"/>
    <w:rsid w:val="00E92C07"/>
    <w:rsid w:val="00FF3D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EE5D60"/>
  <w15:chartTrackingRefBased/>
  <w15:docId w15:val="{F1541380-2DB9-4EEB-BF42-FDA3989FB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rsid w:val="00E7371C"/>
    <w:pPr>
      <w:widowControl w:val="0"/>
      <w:spacing w:line="600" w:lineRule="exact"/>
      <w:ind w:firstLineChars="200" w:firstLine="200"/>
      <w:jc w:val="both"/>
    </w:pPr>
    <w:rPr>
      <w:rFonts w:ascii="Calibri" w:eastAsia="宋体" w:hAnsi="Calibri" w:cs="Times New Roman"/>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a5"/>
    <w:uiPriority w:val="99"/>
    <w:unhideWhenUsed/>
    <w:rsid w:val="00E7371C"/>
    <w:pPr>
      <w:pBdr>
        <w:bottom w:val="single" w:sz="6" w:space="1" w:color="auto"/>
      </w:pBdr>
      <w:tabs>
        <w:tab w:val="center" w:pos="4153"/>
        <w:tab w:val="right" w:pos="8306"/>
      </w:tabs>
      <w:snapToGrid w:val="0"/>
      <w:spacing w:line="240" w:lineRule="auto"/>
      <w:ind w:firstLineChars="0" w:firstLine="0"/>
      <w:jc w:val="center"/>
    </w:pPr>
    <w:rPr>
      <w:rFonts w:asciiTheme="minorHAnsi" w:eastAsiaTheme="minorEastAsia" w:hAnsiTheme="minorHAnsi" w:cstheme="minorBidi"/>
      <w:sz w:val="18"/>
      <w:szCs w:val="18"/>
    </w:rPr>
  </w:style>
  <w:style w:type="character" w:customStyle="1" w:styleId="a5">
    <w:name w:val="页眉 字符"/>
    <w:basedOn w:val="a1"/>
    <w:link w:val="a4"/>
    <w:uiPriority w:val="99"/>
    <w:rsid w:val="00E7371C"/>
    <w:rPr>
      <w:sz w:val="18"/>
      <w:szCs w:val="18"/>
    </w:rPr>
  </w:style>
  <w:style w:type="paragraph" w:styleId="a6">
    <w:name w:val="footer"/>
    <w:basedOn w:val="a"/>
    <w:link w:val="a7"/>
    <w:uiPriority w:val="99"/>
    <w:unhideWhenUsed/>
    <w:rsid w:val="00E7371C"/>
    <w:pPr>
      <w:tabs>
        <w:tab w:val="center" w:pos="4153"/>
        <w:tab w:val="right" w:pos="8306"/>
      </w:tabs>
      <w:snapToGrid w:val="0"/>
      <w:spacing w:line="240" w:lineRule="auto"/>
      <w:ind w:firstLineChars="0" w:firstLine="0"/>
      <w:jc w:val="left"/>
    </w:pPr>
    <w:rPr>
      <w:rFonts w:asciiTheme="minorHAnsi" w:eastAsiaTheme="minorEastAsia" w:hAnsiTheme="minorHAnsi" w:cstheme="minorBidi"/>
      <w:sz w:val="18"/>
      <w:szCs w:val="18"/>
    </w:rPr>
  </w:style>
  <w:style w:type="character" w:customStyle="1" w:styleId="a7">
    <w:name w:val="页脚 字符"/>
    <w:basedOn w:val="a1"/>
    <w:link w:val="a6"/>
    <w:uiPriority w:val="99"/>
    <w:rsid w:val="00E7371C"/>
    <w:rPr>
      <w:sz w:val="18"/>
      <w:szCs w:val="18"/>
    </w:rPr>
  </w:style>
  <w:style w:type="paragraph" w:styleId="a0">
    <w:name w:val="Body Text"/>
    <w:basedOn w:val="a"/>
    <w:next w:val="a"/>
    <w:link w:val="a8"/>
    <w:rsid w:val="00E7371C"/>
    <w:pPr>
      <w:spacing w:after="120"/>
    </w:pPr>
    <w:rPr>
      <w:rFonts w:ascii="Times New Roman" w:hAnsi="Times New Roman"/>
      <w:szCs w:val="24"/>
    </w:rPr>
  </w:style>
  <w:style w:type="character" w:customStyle="1" w:styleId="a8">
    <w:name w:val="正文文本 字符"/>
    <w:basedOn w:val="a1"/>
    <w:link w:val="a0"/>
    <w:rsid w:val="00E7371C"/>
    <w:rPr>
      <w:rFonts w:ascii="Times New Roman" w:eastAsia="宋体" w:hAnsi="Times New Roman" w:cs="Times New Roman"/>
      <w:szCs w:val="24"/>
    </w:rPr>
  </w:style>
  <w:style w:type="paragraph" w:styleId="a9">
    <w:name w:val="Normal (Web)"/>
    <w:basedOn w:val="a"/>
    <w:rsid w:val="00E7371C"/>
    <w:pPr>
      <w:widowControl/>
      <w:spacing w:before="100" w:beforeAutospacing="1" w:after="100" w:afterAutospacing="1"/>
      <w:jc w:val="left"/>
    </w:pPr>
    <w:rPr>
      <w:rFonts w:asci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400</Words>
  <Characters>2285</Characters>
  <Application>Microsoft Office Word</Application>
  <DocSecurity>0</DocSecurity>
  <Lines>19</Lines>
  <Paragraphs>5</Paragraphs>
  <ScaleCrop>false</ScaleCrop>
  <Company/>
  <LinksUpToDate>false</LinksUpToDate>
  <CharactersWithSpaces>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jsj</dc:creator>
  <cp:keywords/>
  <dc:description/>
  <cp:lastModifiedBy>jsj</cp:lastModifiedBy>
  <cp:revision>5</cp:revision>
  <dcterms:created xsi:type="dcterms:W3CDTF">2023-06-25T23:21:00Z</dcterms:created>
  <dcterms:modified xsi:type="dcterms:W3CDTF">2023-06-25T23:25:00Z</dcterms:modified>
</cp:coreProperties>
</file>