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0E9F9" w14:textId="77777777" w:rsidR="00542CF6" w:rsidRPr="00542CF6" w:rsidRDefault="00542CF6" w:rsidP="00542CF6">
      <w:pPr>
        <w:jc w:val="center"/>
        <w:rPr>
          <w:rFonts w:ascii="方正大标宋简体" w:eastAsia="方正大标宋简体" w:hint="eastAsia"/>
          <w:sz w:val="36"/>
          <w:szCs w:val="36"/>
        </w:rPr>
      </w:pPr>
      <w:r w:rsidRPr="00542CF6">
        <w:rPr>
          <w:rFonts w:ascii="方正大标宋简体" w:eastAsia="方正大标宋简体" w:hint="eastAsia"/>
          <w:b/>
          <w:bCs/>
          <w:sz w:val="36"/>
          <w:szCs w:val="36"/>
        </w:rPr>
        <w:t>国务院关于深入实施“人工智能+”行动的意见</w:t>
      </w:r>
    </w:p>
    <w:p w14:paraId="534CC840" w14:textId="77777777" w:rsidR="00542CF6" w:rsidRPr="00542CF6" w:rsidRDefault="00542CF6" w:rsidP="00542CF6">
      <w:pPr>
        <w:jc w:val="center"/>
        <w:rPr>
          <w:rFonts w:ascii="仿宋_GB2312" w:eastAsia="仿宋_GB2312" w:hint="eastAsia"/>
          <w:sz w:val="28"/>
          <w:szCs w:val="28"/>
        </w:rPr>
      </w:pPr>
      <w:r w:rsidRPr="00542CF6">
        <w:rPr>
          <w:rFonts w:ascii="仿宋_GB2312" w:eastAsia="仿宋_GB2312" w:hint="eastAsia"/>
          <w:sz w:val="28"/>
          <w:szCs w:val="28"/>
        </w:rPr>
        <w:t>国发〔2025〕11号</w:t>
      </w:r>
    </w:p>
    <w:p w14:paraId="43AB3470" w14:textId="77777777" w:rsidR="00542CF6" w:rsidRPr="00542CF6" w:rsidRDefault="00542CF6" w:rsidP="00542CF6">
      <w:pPr>
        <w:rPr>
          <w:rFonts w:ascii="仿宋_GB2312" w:eastAsia="仿宋_GB2312" w:hint="eastAsia"/>
          <w:sz w:val="32"/>
          <w:szCs w:val="32"/>
        </w:rPr>
      </w:pPr>
    </w:p>
    <w:p w14:paraId="1A0789D3" w14:textId="77777777" w:rsidR="00542CF6" w:rsidRPr="00542CF6" w:rsidRDefault="00542CF6" w:rsidP="00542CF6">
      <w:pPr>
        <w:rPr>
          <w:rFonts w:ascii="仿宋_GB2312" w:eastAsia="仿宋_GB2312" w:hint="eastAsia"/>
          <w:sz w:val="32"/>
          <w:szCs w:val="32"/>
        </w:rPr>
      </w:pPr>
      <w:r w:rsidRPr="00542CF6">
        <w:rPr>
          <w:rFonts w:ascii="仿宋_GB2312" w:eastAsia="仿宋_GB2312" w:hint="eastAsia"/>
          <w:sz w:val="32"/>
          <w:szCs w:val="32"/>
        </w:rPr>
        <w:t>各省、自治区、直辖市人民政府，国务院各部委、各直属机构：</w:t>
      </w:r>
    </w:p>
    <w:p w14:paraId="2E3F3507"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为深入实施“人工智能+”行动，推动人工智能与经济社会各行业各领域广泛深度融合，重塑人类生产生活范式，促进生产力革命性跃迁和生产关系深层次变革，加快形成人机协同、跨界融合、共创分享的智能经济和智能社会新形态，现提出如下意见。</w:t>
      </w:r>
    </w:p>
    <w:p w14:paraId="49E20B0F" w14:textId="77777777" w:rsidR="00542CF6" w:rsidRPr="00542CF6" w:rsidRDefault="00542CF6" w:rsidP="00542CF6">
      <w:pPr>
        <w:rPr>
          <w:rFonts w:ascii="仿宋_GB2312" w:eastAsia="仿宋_GB2312" w:hint="eastAsia"/>
          <w:sz w:val="32"/>
          <w:szCs w:val="32"/>
        </w:rPr>
      </w:pPr>
      <w:r w:rsidRPr="00542CF6">
        <w:rPr>
          <w:rFonts w:ascii="仿宋_GB2312" w:eastAsia="仿宋_GB2312" w:hint="eastAsia"/>
          <w:b/>
          <w:bCs/>
          <w:sz w:val="32"/>
          <w:szCs w:val="32"/>
        </w:rPr>
        <w:t>一、总体要求</w:t>
      </w:r>
    </w:p>
    <w:p w14:paraId="7FCF1D28"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以习近平新时代中国特色社会主义思想为指导，完整准确全面贯彻新发展理念，坚持以人民为中心的发展思想，充分发挥我国数据资源丰富、产业体系完备、应用场景广阔等优势，强化前瞻谋划、系统布局、分业施策、开放共享、安全可控，以科技、产业、消费、民生、治理、全球合作等领域为重点，深入实施“人工智能+”行动，涌现一批新基础设施、新技术体系、新产业生态、新就业岗位等，加快培育发展新质生产力，使全体人民共享人工智能发展成果，更好服务中国式现代化建设。</w:t>
      </w:r>
    </w:p>
    <w:p w14:paraId="479E7826"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到2027年，率先实现人工智能与6大重点领域广泛深度融合，新一代智能终端、智能体等应用普及率超70%，智</w:t>
      </w:r>
      <w:r w:rsidRPr="00542CF6">
        <w:rPr>
          <w:rFonts w:ascii="仿宋_GB2312" w:eastAsia="仿宋_GB2312" w:hint="eastAsia"/>
          <w:sz w:val="32"/>
          <w:szCs w:val="32"/>
        </w:rPr>
        <w:lastRenderedPageBreak/>
        <w:t>能经济核心产业规模快速增长，人工智能在公共治理中的作用明显增强，人工智能开放合作体系不断完善。到2030年，我国人工智能全面赋能高质量发展，新一代智能终端、智能体等应用普及率超90%，智能经济成为我国经济发展的重要增长极，推动技术普惠和成果共享。到2035年，我国全面步入智能经济和智能社会发展新阶段，为基本实现社会主义现代化提供有力支撑。</w:t>
      </w:r>
    </w:p>
    <w:p w14:paraId="257423F2" w14:textId="77777777" w:rsidR="00542CF6" w:rsidRPr="00542CF6" w:rsidRDefault="00542CF6" w:rsidP="00542CF6">
      <w:pPr>
        <w:rPr>
          <w:rFonts w:ascii="仿宋_GB2312" w:eastAsia="仿宋_GB2312" w:hint="eastAsia"/>
          <w:sz w:val="32"/>
          <w:szCs w:val="32"/>
        </w:rPr>
      </w:pPr>
      <w:r w:rsidRPr="00542CF6">
        <w:rPr>
          <w:rFonts w:ascii="仿宋_GB2312" w:eastAsia="仿宋_GB2312" w:hint="eastAsia"/>
          <w:b/>
          <w:bCs/>
          <w:sz w:val="32"/>
          <w:szCs w:val="32"/>
        </w:rPr>
        <w:t>二、加快实施重点行动</w:t>
      </w:r>
    </w:p>
    <w:p w14:paraId="7393C218"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（一）“人工智能+”科学技术</w:t>
      </w:r>
    </w:p>
    <w:p w14:paraId="068A01FE"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1.加速科学发现进程。加快探索人工智能驱动的新型科研范式，加速“从0到1”重大科学发现进程。加快科学大模型建设应用，推动基础科研平台和重大科技基础设施智能化升级，打造开放共享的高质量科学数据集，提升跨模态复杂科学数据处理水平。强化人工智能跨学科牵引带动作用，推动多学科融合发展。</w:t>
      </w:r>
    </w:p>
    <w:p w14:paraId="777B16B5"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2.驱动技术研发模式创新和效能提升。推动人工智能驱动的技术研发、工程实现、产品落地一体化协同发展，加速“从1到N”技术落地和迭代突破，促进创新成果高效转化。支持智能化研发工具和平台推广应用，加强人工智能与生物制造、量子科技、第六代移动通信（6G）等领域技术协同创新，以新的科研成果支撑场景应用落地，以新的应用需求牵引科技创新突破。</w:t>
      </w:r>
    </w:p>
    <w:p w14:paraId="482308C0"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lastRenderedPageBreak/>
        <w:t>3.创新哲学社会科学研究方法。推动哲学社会科学研究方法向人机协同模式转变，探索建立适应人工智能时代的新型哲学社会科学研究组织形式，拓展研究视野和观察视域。深入研究人工智能对人类认知判断、伦理规范等方面的深层次影响和作用机理，探索形成智能向善理论体系，促进人工智能更好造福人类。</w:t>
      </w:r>
    </w:p>
    <w:p w14:paraId="03139647"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（二）“人工智能+”产业发展</w:t>
      </w:r>
    </w:p>
    <w:p w14:paraId="2178E42E"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1.培育智能原生新模式新业态。鼓励有条件的企业将人工智能融入战略规划、组织架构、业务流程等，推动产业全要素智能化发展，助力传统产业改造升级，开辟战略性新兴产业和未来产业发展新赛道。大力发展智能原生技术、产品和服务体系，加快培育一批底层架构和运行逻辑基于人工智能的智能原生企业，探索全新商业模式，催生智能原生新业态。</w:t>
      </w:r>
    </w:p>
    <w:p w14:paraId="35D69001"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2.推进工业全要素智能化发展。推动工业全要素智能联动，加快人工智能在设计、中试、生产、服务、运营全环节落地应用。着力提升全员人工智能素养与技能，推动各行业形成更多可复用的专家知识。加快工业软件创新突破，大力发展智能制造装备。推进工业供应链智能协同，加强自适应供需匹配。推广人工智能驱动的生产工艺优化方法。深化人工智能与工业互联网融合应用，增强工业系统的智能感知与决策执行能力。</w:t>
      </w:r>
    </w:p>
    <w:p w14:paraId="035F584C"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lastRenderedPageBreak/>
        <w:t>3.加快农业数智化转型升级。加快人工智能驱动的育种体系创新，支持种植、养殖等农业领域智能应用。大力发展智能农机、农业无人机、农业机器人等智能装备，提高农业生产和加工工具的智能感知、决策、控制、作业等能力，强化农机农具平台化、智能化管理。加强人工智能在农业生产管理、风险防范等领域应用，帮助农民提升生产经营能力和水平。</w:t>
      </w:r>
    </w:p>
    <w:p w14:paraId="7BCB1E98"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4.创新服务业发展新模式。加快服务业从数字赋能的互联网服务向智能驱动的新型服务方式演进，拓展经营范围，推动现代服务业向智向新发展。探索无人服务与人工服务相结合的新模式。在软件、信息、金融、商务、法律、交通、物流、商贸等领域，推动新一代智能终端、智能体等广泛应用。</w:t>
      </w:r>
    </w:p>
    <w:p w14:paraId="3A6195E5"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（三）“人工智能+”消费提质</w:t>
      </w:r>
    </w:p>
    <w:p w14:paraId="4CC04297"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1.拓展服务消费新场景。培育覆盖更广、内容更丰富的智能服务业态，加快发展提效型、陪伴型等智能原生应用，支持开辟智能助理等服务新入口。加强智能消费基础设施建设，提升文娱、电商、家政、物业、出行、养老、托育等生活服务品质，拓展体验消费、个性消费、认知和情感消费等服务消费新场景。</w:t>
      </w:r>
    </w:p>
    <w:p w14:paraId="06C770E1"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2.培育产品消费新业态。推动智能终端“万物智联”，培育智能产品生态，大力发展智能网联汽车、人工智能手机和</w:t>
      </w:r>
      <w:r w:rsidRPr="00542CF6">
        <w:rPr>
          <w:rFonts w:ascii="仿宋_GB2312" w:eastAsia="仿宋_GB2312" w:hint="eastAsia"/>
          <w:sz w:val="32"/>
          <w:szCs w:val="32"/>
        </w:rPr>
        <w:lastRenderedPageBreak/>
        <w:t>电脑、智能机器人、智能家居、智能穿戴等新一代智能终端，打造一体化全场景覆盖的智能交互环境。加快人工智能与元宇宙、低空飞行、增材制造、脑机接口等技术融合和产品创新，探索智能产品新形态。</w:t>
      </w:r>
    </w:p>
    <w:p w14:paraId="2C4208EF"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（四）“人工智能+”民生福祉</w:t>
      </w:r>
    </w:p>
    <w:p w14:paraId="7C5D7E34"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1.创造更加智能的工作方式。积极发挥人工智能在创造新岗位和赋能传统岗位方面的作用，探索人机协同的新型组织架构和管理模式，培育发展智能代理等创新型工作形态，推动在劳动力紧缺、环境高危等岗位应用。大力支持开展人工智能技能培训，激发人工智能创新创业和再就业活力。加强人工智能应用就业风险评估，引导创新资源向创造就业潜力大的方向倾斜，减少对就业的冲击。</w:t>
      </w:r>
    </w:p>
    <w:p w14:paraId="29BF98BD"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2.推行更富成效的学习方式。把人工智能融入教育教学全要素、全过程，创新智能学伴、智能教师等人机协同教育教学新模式，推动育人从知识传授为重向能力提升为本转变，加快实现大规模因材施教，提高教育质量，促进教育公平。构建智能化情景交互学习模式，推动开展方式更灵活、资源更丰富的自主学习。鼓励和支持全民积极学习人工智能新知识、新技术。</w:t>
      </w:r>
    </w:p>
    <w:p w14:paraId="36534A46"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3.打造更有品质的美好生活。探索推广人人可享的高水平居民健康助手，有序推动人工智能在辅助诊疗、健康管理、医保服务等场景的应用，大幅提高基层医疗健康服务能力和</w:t>
      </w:r>
      <w:r w:rsidRPr="00542CF6">
        <w:rPr>
          <w:rFonts w:ascii="仿宋_GB2312" w:eastAsia="仿宋_GB2312" w:hint="eastAsia"/>
          <w:sz w:val="32"/>
          <w:szCs w:val="32"/>
        </w:rPr>
        <w:lastRenderedPageBreak/>
        <w:t>效率。推动人工智能在繁荣文化生产、增强文化传播、促进文化交流中展现更大作为，利用人工智能辅助创作更多具有中华文化元素和标识的文化内容，壮大文化产业。充分发挥人工智能对织密人际关系、精神慰藉陪伴、养老托育助残、推进全民健身等方面的重要作用，拓展人工智能在“好房子”全生命周期的应用，积极构建更有温度的智能社会。</w:t>
      </w:r>
    </w:p>
    <w:p w14:paraId="34554170"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（五）“人工智能+”治理能力</w:t>
      </w:r>
    </w:p>
    <w:p w14:paraId="45BC2FA4"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1.开创社会治理人机共生新图景。有序推动市政基础设施智能化改造升级，探索面向新一代智能终端发展的城市规划、建设与治理，提升城市运行智能化水平。加快人工智能产品和服务向乡村延伸，推动城乡智能普惠。深入开展人工智能社会实验。安全稳妥有序推进人工智能在政务领域应用，打造精准识别需求、主动规划服务、全程智能办理的政务服务新模式。加快人工智能在各类公共资源招标投标活动中的应用，提升智能交易服务和监管水平。</w:t>
      </w:r>
    </w:p>
    <w:p w14:paraId="5F7C8B21"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2.打造安全治理多元共治新格局。推动构建面向自然人、数字人、智能机器人等多元一体的公共安全治理体系，加强人工智能在安全生产监管、防灾减灾救灾、公共安全预警、社会治安管理等方面的应用，提升监测预警、监管执法、指挥决策、现场救援、社会动员等工作水平，增强应用人工智能维护和塑造国家安全的能力。加快推动人工智能赋能网络空间治理，强化信息精准识别、态势主动研判、风险实时处</w:t>
      </w:r>
      <w:r w:rsidRPr="00542CF6">
        <w:rPr>
          <w:rFonts w:ascii="仿宋_GB2312" w:eastAsia="仿宋_GB2312" w:hint="eastAsia"/>
          <w:sz w:val="32"/>
          <w:szCs w:val="32"/>
        </w:rPr>
        <w:lastRenderedPageBreak/>
        <w:t>置等能力。</w:t>
      </w:r>
    </w:p>
    <w:p w14:paraId="47F2680D"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3.共绘美丽中国生态治理新画卷。提高空天地海一体化动态感知和国土空间智慧规划水平，强化资源要素优化配置。围绕大气、水、海洋、土壤、生物等多要素生态环境系统和全国碳市场建设等，提升人工智能驱动的监测预测、模拟推演、问题处置等能力，推动构建智能协同的精准治理模式。</w:t>
      </w:r>
    </w:p>
    <w:p w14:paraId="398E8640"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（六）“人工智能+”全球合作</w:t>
      </w:r>
    </w:p>
    <w:p w14:paraId="2BC122B0"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1.推动人工智能普惠共享。把人工智能作为造福人类的国际公共产品，打造平权、互信、多元、共赢的人工智能能力建设开放生态。深化人工智能领域高水平开放，推动人工智能技术开源可及，强化算力、数据、人才等领域国际合作，帮助全球南方国家加强人工智能能力建设，助力各国平等参与智能化发展进程，弥合全球智能鸿沟。</w:t>
      </w:r>
    </w:p>
    <w:p w14:paraId="2B5C80D2"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2.共建人工智能全球治理体系。支持联合国在人工智能全球治理中发挥主渠道作用，探索形成各国广泛参与的治理框架，共同应对全球性挑战。深化与国际组织、专业机构等交流合作，加强治理规则、技术标准等对接协调。共同研判、积极应对人工智能应用风险，确保人工智能发展安全、可靠、可控。</w:t>
      </w:r>
    </w:p>
    <w:p w14:paraId="16C6CBB0" w14:textId="77777777" w:rsidR="00542CF6" w:rsidRPr="00542CF6" w:rsidRDefault="00542CF6" w:rsidP="00542CF6">
      <w:pPr>
        <w:rPr>
          <w:rFonts w:ascii="仿宋_GB2312" w:eastAsia="仿宋_GB2312" w:hint="eastAsia"/>
          <w:sz w:val="32"/>
          <w:szCs w:val="32"/>
        </w:rPr>
      </w:pPr>
      <w:r w:rsidRPr="00542CF6">
        <w:rPr>
          <w:rFonts w:ascii="仿宋_GB2312" w:eastAsia="仿宋_GB2312" w:hint="eastAsia"/>
          <w:b/>
          <w:bCs/>
          <w:sz w:val="32"/>
          <w:szCs w:val="32"/>
        </w:rPr>
        <w:t>三、强化基础支撑能力</w:t>
      </w:r>
    </w:p>
    <w:p w14:paraId="6380D8C8" w14:textId="5F62515C"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（七）提升模型基础能力。加强人工智能基础理论研究，支持多路径技术探索和模型基础架构创新。加快研究更加高</w:t>
      </w:r>
      <w:r>
        <w:rPr>
          <w:rFonts w:ascii="仿宋_GB2312" w:eastAsia="仿宋_GB2312" w:hint="eastAsia"/>
          <w:sz w:val="32"/>
          <w:szCs w:val="32"/>
        </w:rPr>
        <w:t xml:space="preserve">  </w:t>
      </w:r>
      <w:r w:rsidRPr="00542CF6">
        <w:rPr>
          <w:rFonts w:ascii="仿宋_GB2312" w:eastAsia="仿宋_GB2312" w:hint="eastAsia"/>
          <w:sz w:val="32"/>
          <w:szCs w:val="32"/>
        </w:rPr>
        <w:lastRenderedPageBreak/>
        <w:t>效的模型训练和推理方法，积极推动理论创新、技术创新、工程创新协同发展。探索模型应用新形态，提升复杂任务处理能力，优化交互体验。建立健全模型能力评估体系，促进模型能力有效迭代提升。</w:t>
      </w:r>
    </w:p>
    <w:p w14:paraId="6109532F"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八）加强数据供给创新。以应用为导向，持续加强人工智能高质量数据集建设。完善适配人工智能发展的数据产权和版权制度，推动公共财政资助项目形成的版权内容依法合规开放。鼓励探索基于价值贡献度的数据成本补偿、收益分成等方式，加强数据供给激励。支持发展数据标注、数据合成等技术，培育壮大数据处理和数据服务产业。</w:t>
      </w:r>
    </w:p>
    <w:p w14:paraId="3DC92CCF"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九）强化智能算力统筹。支持人工智能芯片攻坚创新与使能软件生态培育，加快超大规模智算集群技术突破和工程落地。优化国家智算资源布局，完善全国一体化算力网，充分发挥“东数西算”国家枢纽作用，加大数、算、电、网等资源协同。加强智能算力互联互通和供需匹配，创新智能算力基础设施运营模式，鼓励发展标准化、可扩展的算力云服务，推动智能算力供给普惠易用、经济高效、绿色安全。</w:t>
      </w:r>
    </w:p>
    <w:p w14:paraId="69C8C8E7"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十）优化应用发展环境。布局建设一批国家人工智能应用中试基地，搭建行业应用共性平台。推动软件信息服务企业智能化转型，重构产品形态和服务模式。培育人工智能应用服务商，发展“模型即服务”、“智能体即服务”等，打造人工智能应用服务链。健全人工智能应用场景建设指引、</w:t>
      </w:r>
      <w:r w:rsidRPr="00542CF6">
        <w:rPr>
          <w:rFonts w:ascii="仿宋_GB2312" w:eastAsia="仿宋_GB2312" w:hint="eastAsia"/>
          <w:sz w:val="32"/>
          <w:szCs w:val="32"/>
        </w:rPr>
        <w:lastRenderedPageBreak/>
        <w:t>开放度评价与激励政策，完善应用试错容错管理制度。加强知识产权保护、转化与协同应用。加快重点领域人工智能标准研制，推进跨行业、跨领域、国际化标准联动。</w:t>
      </w:r>
    </w:p>
    <w:p w14:paraId="56D03F9A"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十一）促进开源生态繁荣。支持人工智能开源社区建设，促进模型、工具、数据集等汇聚开放，培育优质开源项目。建立健全人工智能开源贡献评价和激励机制，鼓励高校将开源贡献纳入学生学分认证和教师成果认定。支持企业、高校、科研机构等探索普惠高效的开源应用新模式。加快构建面向全球开放的开源技术体系和社区生态，发展具有国际影响力的开源项目和开发工具等。</w:t>
      </w:r>
    </w:p>
    <w:p w14:paraId="0E24D030"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十二）加强人才队伍建设。推进人工智能全学段教育和全社会通识教育，完善学科专业布局，加大高层次人才培养力度，超常规构建领军人才培养新模式，强化师资力量建设，推进产教融合、跨学科培养和国际合作。完善符合人工智能人才职业属性和岗位特点的多元化评价体系，更好发挥领军人才作用，给予青年人才更大施展空间，鼓励积极探索人工智能“无人区”。支持企业规范用好股权、期权等中长期激励方式引才留才用才。</w:t>
      </w:r>
    </w:p>
    <w:p w14:paraId="355381BA"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十三）强化政策法规保障。健全国有资本投资人工智能领域考核评价和风险监管等制度。加大人工智能领域金融和财政支持力度，发展壮大长期资本、耐心资本、战略资本，完善风险分担和投资退出机制，充分发挥财政资金、政府采</w:t>
      </w:r>
      <w:r w:rsidRPr="00542CF6">
        <w:rPr>
          <w:rFonts w:ascii="仿宋_GB2312" w:eastAsia="仿宋_GB2312" w:hint="eastAsia"/>
          <w:sz w:val="32"/>
          <w:szCs w:val="32"/>
        </w:rPr>
        <w:lastRenderedPageBreak/>
        <w:t>购等政策作用。完善人工智能法律法规、伦理准则等，推进人工智能健康发展相关立法工作。优化人工智能相关安全评估和备案管理制度。</w:t>
      </w:r>
    </w:p>
    <w:p w14:paraId="5FA49090"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十四）提升安全能力水平。推动模型算法、数据资源、基础设施、应用系统等安全能力建设，防范模型的黑箱、幻觉、算法歧视等带来的风险，加强前瞻评估和监测处置，推动人工智能应用合规、透明、可信赖。建立健全人工智能技术监测、风险预警、应急响应体系，强化政府引导、行业自律，坚持包容审慎、分类分级，加快形成动态敏捷、多元协同的人工智能治理格局。</w:t>
      </w:r>
    </w:p>
    <w:p w14:paraId="474AD5E7" w14:textId="77777777" w:rsidR="00542CF6" w:rsidRPr="00542CF6" w:rsidRDefault="00542CF6" w:rsidP="00542CF6">
      <w:pPr>
        <w:rPr>
          <w:rFonts w:ascii="仿宋_GB2312" w:eastAsia="仿宋_GB2312" w:hint="eastAsia"/>
          <w:sz w:val="32"/>
          <w:szCs w:val="32"/>
        </w:rPr>
      </w:pPr>
      <w:r w:rsidRPr="00542CF6">
        <w:rPr>
          <w:rFonts w:ascii="仿宋_GB2312" w:eastAsia="仿宋_GB2312" w:hint="eastAsia"/>
          <w:b/>
          <w:bCs/>
          <w:sz w:val="32"/>
          <w:szCs w:val="32"/>
        </w:rPr>
        <w:t>四、组织实施</w:t>
      </w:r>
    </w:p>
    <w:p w14:paraId="1CFCE6D9" w14:textId="77777777" w:rsidR="00542CF6" w:rsidRPr="00542CF6" w:rsidRDefault="00542CF6" w:rsidP="00542CF6">
      <w:pPr>
        <w:ind w:firstLineChars="200" w:firstLine="640"/>
        <w:rPr>
          <w:rFonts w:ascii="仿宋_GB2312" w:eastAsia="仿宋_GB2312" w:hint="eastAsia"/>
          <w:sz w:val="32"/>
          <w:szCs w:val="32"/>
        </w:rPr>
      </w:pPr>
      <w:r w:rsidRPr="00542CF6">
        <w:rPr>
          <w:rFonts w:ascii="仿宋_GB2312" w:eastAsia="仿宋_GB2312" w:hint="eastAsia"/>
          <w:sz w:val="32"/>
          <w:szCs w:val="32"/>
        </w:rPr>
        <w:t>坚持把党的领导贯彻到“人工智能+”行动全过程。国家发展改革委要加强统筹协调，推动形成工作合力。各地区各部门要紧密结合实际，因地制宜抓好贯彻落实，确保落地见效。要强化示范引领，适时总结推广经验做法。要加强宣传引导，广泛凝聚社会共识，营造全社会共同参与的良好氛围。</w:t>
      </w:r>
    </w:p>
    <w:p w14:paraId="2D30C3D6" w14:textId="59D8265D" w:rsidR="00542CF6" w:rsidRPr="00542CF6" w:rsidRDefault="00542CF6" w:rsidP="00542CF6">
      <w:pPr>
        <w:jc w:val="right"/>
        <w:rPr>
          <w:rFonts w:ascii="仿宋_GB2312" w:eastAsia="仿宋_GB2312" w:hint="eastAsia"/>
          <w:sz w:val="32"/>
          <w:szCs w:val="32"/>
        </w:rPr>
      </w:pPr>
      <w:r w:rsidRPr="00542CF6">
        <w:rPr>
          <w:rFonts w:ascii="仿宋_GB2312" w:eastAsia="仿宋_GB2312" w:hint="eastAsia"/>
          <w:sz w:val="32"/>
          <w:szCs w:val="32"/>
        </w:rPr>
        <w:t>国务院</w:t>
      </w:r>
    </w:p>
    <w:p w14:paraId="42D5BAA4" w14:textId="5444A5DC" w:rsidR="00542CF6" w:rsidRPr="00542CF6" w:rsidRDefault="00542CF6" w:rsidP="00542CF6">
      <w:pPr>
        <w:jc w:val="right"/>
        <w:rPr>
          <w:rFonts w:ascii="仿宋_GB2312" w:eastAsia="仿宋_GB2312" w:hint="eastAsia"/>
          <w:sz w:val="32"/>
          <w:szCs w:val="32"/>
        </w:rPr>
      </w:pPr>
      <w:r w:rsidRPr="00542CF6">
        <w:rPr>
          <w:rFonts w:ascii="仿宋_GB2312" w:eastAsia="仿宋_GB2312" w:hint="eastAsia"/>
          <w:sz w:val="32"/>
          <w:szCs w:val="32"/>
        </w:rPr>
        <w:t>2025年8月21日</w:t>
      </w:r>
    </w:p>
    <w:p w14:paraId="681C2223" w14:textId="77777777" w:rsidR="005C2B25" w:rsidRDefault="005C2B25" w:rsidP="00542CF6">
      <w:pPr>
        <w:jc w:val="right"/>
        <w:rPr>
          <w:rFonts w:hint="eastAsia"/>
        </w:rPr>
      </w:pPr>
    </w:p>
    <w:sectPr w:rsidR="005C2B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078B" w14:textId="77777777" w:rsidR="00437BFB" w:rsidRDefault="00437BFB" w:rsidP="00542CF6">
      <w:pPr>
        <w:rPr>
          <w:rFonts w:hint="eastAsia"/>
        </w:rPr>
      </w:pPr>
      <w:r>
        <w:separator/>
      </w:r>
    </w:p>
  </w:endnote>
  <w:endnote w:type="continuationSeparator" w:id="0">
    <w:p w14:paraId="402EDF0D" w14:textId="77777777" w:rsidR="00437BFB" w:rsidRDefault="00437BFB" w:rsidP="00542C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大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5F781" w14:textId="77777777" w:rsidR="00437BFB" w:rsidRDefault="00437BFB" w:rsidP="00542CF6">
      <w:pPr>
        <w:rPr>
          <w:rFonts w:hint="eastAsia"/>
        </w:rPr>
      </w:pPr>
      <w:r>
        <w:separator/>
      </w:r>
    </w:p>
  </w:footnote>
  <w:footnote w:type="continuationSeparator" w:id="0">
    <w:p w14:paraId="1364B036" w14:textId="77777777" w:rsidR="00437BFB" w:rsidRDefault="00437BFB" w:rsidP="00542CF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55D"/>
    <w:rsid w:val="000A1646"/>
    <w:rsid w:val="00437BFB"/>
    <w:rsid w:val="00542CF6"/>
    <w:rsid w:val="0056055D"/>
    <w:rsid w:val="005C2B25"/>
    <w:rsid w:val="005F30B0"/>
    <w:rsid w:val="00723250"/>
    <w:rsid w:val="00D71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AD872"/>
  <w15:chartTrackingRefBased/>
  <w15:docId w15:val="{998BE7F9-D5C2-48F9-81DF-EC32A6E0E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6055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6055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6055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6055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6055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56055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6055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6055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6055D"/>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6055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6055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6055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6055D"/>
    <w:rPr>
      <w:rFonts w:cstheme="majorBidi"/>
      <w:color w:val="0F4761" w:themeColor="accent1" w:themeShade="BF"/>
      <w:sz w:val="28"/>
      <w:szCs w:val="28"/>
    </w:rPr>
  </w:style>
  <w:style w:type="character" w:customStyle="1" w:styleId="50">
    <w:name w:val="标题 5 字符"/>
    <w:basedOn w:val="a0"/>
    <w:link w:val="5"/>
    <w:uiPriority w:val="9"/>
    <w:semiHidden/>
    <w:rsid w:val="0056055D"/>
    <w:rPr>
      <w:rFonts w:cstheme="majorBidi"/>
      <w:color w:val="0F4761" w:themeColor="accent1" w:themeShade="BF"/>
      <w:sz w:val="24"/>
      <w:szCs w:val="24"/>
    </w:rPr>
  </w:style>
  <w:style w:type="character" w:customStyle="1" w:styleId="60">
    <w:name w:val="标题 6 字符"/>
    <w:basedOn w:val="a0"/>
    <w:link w:val="6"/>
    <w:uiPriority w:val="9"/>
    <w:semiHidden/>
    <w:rsid w:val="0056055D"/>
    <w:rPr>
      <w:rFonts w:cstheme="majorBidi"/>
      <w:b/>
      <w:bCs/>
      <w:color w:val="0F4761" w:themeColor="accent1" w:themeShade="BF"/>
    </w:rPr>
  </w:style>
  <w:style w:type="character" w:customStyle="1" w:styleId="70">
    <w:name w:val="标题 7 字符"/>
    <w:basedOn w:val="a0"/>
    <w:link w:val="7"/>
    <w:uiPriority w:val="9"/>
    <w:semiHidden/>
    <w:rsid w:val="0056055D"/>
    <w:rPr>
      <w:rFonts w:cstheme="majorBidi"/>
      <w:b/>
      <w:bCs/>
      <w:color w:val="595959" w:themeColor="text1" w:themeTint="A6"/>
    </w:rPr>
  </w:style>
  <w:style w:type="character" w:customStyle="1" w:styleId="80">
    <w:name w:val="标题 8 字符"/>
    <w:basedOn w:val="a0"/>
    <w:link w:val="8"/>
    <w:uiPriority w:val="9"/>
    <w:semiHidden/>
    <w:rsid w:val="0056055D"/>
    <w:rPr>
      <w:rFonts w:cstheme="majorBidi"/>
      <w:color w:val="595959" w:themeColor="text1" w:themeTint="A6"/>
    </w:rPr>
  </w:style>
  <w:style w:type="character" w:customStyle="1" w:styleId="90">
    <w:name w:val="标题 9 字符"/>
    <w:basedOn w:val="a0"/>
    <w:link w:val="9"/>
    <w:uiPriority w:val="9"/>
    <w:semiHidden/>
    <w:rsid w:val="0056055D"/>
    <w:rPr>
      <w:rFonts w:eastAsiaTheme="majorEastAsia" w:cstheme="majorBidi"/>
      <w:color w:val="595959" w:themeColor="text1" w:themeTint="A6"/>
    </w:rPr>
  </w:style>
  <w:style w:type="paragraph" w:styleId="a3">
    <w:name w:val="Title"/>
    <w:basedOn w:val="a"/>
    <w:next w:val="a"/>
    <w:link w:val="a4"/>
    <w:uiPriority w:val="10"/>
    <w:qFormat/>
    <w:rsid w:val="005605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605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05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605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055D"/>
    <w:pPr>
      <w:spacing w:before="160" w:after="160"/>
      <w:jc w:val="center"/>
    </w:pPr>
    <w:rPr>
      <w:i/>
      <w:iCs/>
      <w:color w:val="404040" w:themeColor="text1" w:themeTint="BF"/>
    </w:rPr>
  </w:style>
  <w:style w:type="character" w:customStyle="1" w:styleId="a8">
    <w:name w:val="引用 字符"/>
    <w:basedOn w:val="a0"/>
    <w:link w:val="a7"/>
    <w:uiPriority w:val="29"/>
    <w:rsid w:val="0056055D"/>
    <w:rPr>
      <w:i/>
      <w:iCs/>
      <w:color w:val="404040" w:themeColor="text1" w:themeTint="BF"/>
    </w:rPr>
  </w:style>
  <w:style w:type="paragraph" w:styleId="a9">
    <w:name w:val="List Paragraph"/>
    <w:basedOn w:val="a"/>
    <w:uiPriority w:val="34"/>
    <w:qFormat/>
    <w:rsid w:val="0056055D"/>
    <w:pPr>
      <w:ind w:left="720"/>
      <w:contextualSpacing/>
    </w:pPr>
  </w:style>
  <w:style w:type="character" w:styleId="aa">
    <w:name w:val="Intense Emphasis"/>
    <w:basedOn w:val="a0"/>
    <w:uiPriority w:val="21"/>
    <w:qFormat/>
    <w:rsid w:val="0056055D"/>
    <w:rPr>
      <w:i/>
      <w:iCs/>
      <w:color w:val="0F4761" w:themeColor="accent1" w:themeShade="BF"/>
    </w:rPr>
  </w:style>
  <w:style w:type="paragraph" w:styleId="ab">
    <w:name w:val="Intense Quote"/>
    <w:basedOn w:val="a"/>
    <w:next w:val="a"/>
    <w:link w:val="ac"/>
    <w:uiPriority w:val="30"/>
    <w:qFormat/>
    <w:rsid w:val="005605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6055D"/>
    <w:rPr>
      <w:i/>
      <w:iCs/>
      <w:color w:val="0F4761" w:themeColor="accent1" w:themeShade="BF"/>
    </w:rPr>
  </w:style>
  <w:style w:type="character" w:styleId="ad">
    <w:name w:val="Intense Reference"/>
    <w:basedOn w:val="a0"/>
    <w:uiPriority w:val="32"/>
    <w:qFormat/>
    <w:rsid w:val="0056055D"/>
    <w:rPr>
      <w:b/>
      <w:bCs/>
      <w:smallCaps/>
      <w:color w:val="0F4761" w:themeColor="accent1" w:themeShade="BF"/>
      <w:spacing w:val="5"/>
    </w:rPr>
  </w:style>
  <w:style w:type="paragraph" w:styleId="ae">
    <w:name w:val="header"/>
    <w:basedOn w:val="a"/>
    <w:link w:val="af"/>
    <w:uiPriority w:val="99"/>
    <w:unhideWhenUsed/>
    <w:rsid w:val="00542CF6"/>
    <w:pPr>
      <w:tabs>
        <w:tab w:val="center" w:pos="4153"/>
        <w:tab w:val="right" w:pos="8306"/>
      </w:tabs>
      <w:snapToGrid w:val="0"/>
      <w:jc w:val="center"/>
    </w:pPr>
    <w:rPr>
      <w:sz w:val="18"/>
      <w:szCs w:val="18"/>
    </w:rPr>
  </w:style>
  <w:style w:type="character" w:customStyle="1" w:styleId="af">
    <w:name w:val="页眉 字符"/>
    <w:basedOn w:val="a0"/>
    <w:link w:val="ae"/>
    <w:uiPriority w:val="99"/>
    <w:rsid w:val="00542CF6"/>
    <w:rPr>
      <w:sz w:val="18"/>
      <w:szCs w:val="18"/>
    </w:rPr>
  </w:style>
  <w:style w:type="paragraph" w:styleId="af0">
    <w:name w:val="footer"/>
    <w:basedOn w:val="a"/>
    <w:link w:val="af1"/>
    <w:uiPriority w:val="99"/>
    <w:unhideWhenUsed/>
    <w:rsid w:val="00542CF6"/>
    <w:pPr>
      <w:tabs>
        <w:tab w:val="center" w:pos="4153"/>
        <w:tab w:val="right" w:pos="8306"/>
      </w:tabs>
      <w:snapToGrid w:val="0"/>
      <w:jc w:val="left"/>
    </w:pPr>
    <w:rPr>
      <w:sz w:val="18"/>
      <w:szCs w:val="18"/>
    </w:rPr>
  </w:style>
  <w:style w:type="character" w:customStyle="1" w:styleId="af1">
    <w:name w:val="页脚 字符"/>
    <w:basedOn w:val="a0"/>
    <w:link w:val="af0"/>
    <w:uiPriority w:val="99"/>
    <w:rsid w:val="00542CF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263698991@qq.com</dc:creator>
  <cp:keywords/>
  <dc:description/>
  <cp:lastModifiedBy>263698991@qq.com</cp:lastModifiedBy>
  <cp:revision>2</cp:revision>
  <dcterms:created xsi:type="dcterms:W3CDTF">2025-10-13T06:37:00Z</dcterms:created>
  <dcterms:modified xsi:type="dcterms:W3CDTF">2025-10-13T06:38:00Z</dcterms:modified>
</cp:coreProperties>
</file>