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Times New Roman" w:eastAsia="黑体" w:cs="Times New Roman"/>
          <w:b/>
          <w:sz w:val="36"/>
          <w:szCs w:val="36"/>
        </w:rPr>
      </w:pPr>
      <w:r>
        <w:rPr>
          <w:rFonts w:hint="eastAsia" w:ascii="黑体" w:hAnsi="Times New Roman" w:eastAsia="黑体" w:cs="Times New Roman"/>
          <w:b/>
          <w:sz w:val="36"/>
          <w:szCs w:val="36"/>
        </w:rPr>
        <w:t>西南交通大学关于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</w:rPr>
        <w:t xml:space="preserve"> </w:t>
      </w:r>
      <w:r>
        <w:rPr>
          <w:rFonts w:ascii="黑体" w:hAnsi="Times New Roman" w:eastAsia="黑体" w:cs="Times New Roman"/>
          <w:b/>
          <w:sz w:val="36"/>
          <w:szCs w:val="36"/>
          <w:u w:val="single"/>
        </w:rPr>
        <w:t xml:space="preserve">  </w:t>
      </w:r>
      <w:r>
        <w:rPr>
          <w:rFonts w:hint="eastAsia" w:ascii="黑体" w:hAnsi="Times New Roman" w:cs="Times New Roman"/>
          <w:b/>
          <w:sz w:val="36"/>
          <w:szCs w:val="36"/>
          <w:u w:val="single"/>
        </w:rPr>
        <w:t>2018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</w:rPr>
        <w:t xml:space="preserve">   </w:t>
      </w:r>
      <w:r>
        <w:rPr>
          <w:rFonts w:hint="eastAsia" w:ascii="黑体" w:hAnsi="宋体" w:eastAsia="黑体" w:cs="宋体"/>
          <w:b/>
          <w:kern w:val="0"/>
          <w:sz w:val="36"/>
          <w:szCs w:val="36"/>
        </w:rPr>
        <w:t>年</w:t>
      </w:r>
      <w:r>
        <w:rPr>
          <w:rFonts w:hint="eastAsia" w:ascii="黑体" w:hAnsi="Times New Roman" w:eastAsia="黑体" w:cs="Times New Roman"/>
          <w:b/>
          <w:sz w:val="36"/>
          <w:szCs w:val="36"/>
        </w:rPr>
        <w:t>度公开招聘应聘人员情况</w:t>
      </w:r>
      <w:r>
        <w:rPr>
          <w:rFonts w:ascii="黑体" w:hAnsi="Times New Roman" w:eastAsia="黑体" w:cs="Times New Roman"/>
          <w:b/>
          <w:sz w:val="36"/>
          <w:szCs w:val="36"/>
        </w:rPr>
        <w:t xml:space="preserve"> </w:t>
      </w: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b/>
          <w:sz w:val="28"/>
          <w:szCs w:val="28"/>
          <w:u w:val="single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应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聘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人：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 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   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应聘岗位：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eastAsia="zh-CN"/>
        </w:rPr>
        <w:t>传播系教师岗位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  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应聘单位：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人文学院         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 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应聘单位负责人签章</w:t>
      </w:r>
      <w:r>
        <w:rPr>
          <w:rFonts w:ascii="Times New Roman" w:hAnsi="Times New Roman" w:eastAsia="宋体" w:cs="Times New Roman"/>
          <w:b/>
          <w:sz w:val="28"/>
          <w:szCs w:val="28"/>
        </w:rPr>
        <w:t>: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       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ind w:firstLine="241" w:firstLineChars="1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、基本情况</w:t>
      </w:r>
    </w:p>
    <w:tbl>
      <w:tblPr>
        <w:tblStyle w:val="5"/>
        <w:tblW w:w="104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2067"/>
        <w:gridCol w:w="1417"/>
        <w:gridCol w:w="1913"/>
        <w:gridCol w:w="1417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941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国籍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color w:val="000000"/>
                <w:sz w:val="20"/>
                <w:szCs w:val="20"/>
              </w:rPr>
              <w:t>中国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籍贯</w:t>
            </w:r>
          </w:p>
        </w:tc>
        <w:tc>
          <w:tcPr>
            <w:tcW w:w="1665" w:type="dxa"/>
          </w:tcPr>
          <w:p>
            <w:pPr>
              <w:rPr>
                <w:rFonts w:cs="Times New Roman" w:asciiTheme="minorEastAsia" w:hAnsiTheme="minorEastAsia"/>
                <w:color w:val="000000"/>
                <w:szCs w:val="24"/>
              </w:rPr>
            </w:pPr>
            <w:r>
              <w:rPr>
                <w:rFonts w:cs="Times New Roman" w:asciiTheme="minorEastAsia" w:hAnsiTheme="minorEastAsia"/>
                <w:color w:val="000000"/>
                <w:szCs w:val="24"/>
              </w:rPr>
              <w:t>四川省广元市旺苍县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941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现任专业</w:t>
            </w:r>
          </w:p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技术职务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任职时间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出生年月</w:t>
            </w:r>
          </w:p>
        </w:tc>
        <w:tc>
          <w:tcPr>
            <w:tcW w:w="1665" w:type="dxa"/>
          </w:tcPr>
          <w:p>
            <w:pPr>
              <w:rPr>
                <w:rFonts w:cs="Times New Roman" w:asciiTheme="minorEastAsia" w:hAnsiTheme="minorEastAsia"/>
                <w:color w:val="000000"/>
                <w:szCs w:val="24"/>
              </w:rPr>
            </w:pPr>
            <w:r>
              <w:rPr>
                <w:rFonts w:hint="eastAsia" w:cs="Times New Roman" w:asciiTheme="minorEastAsia" w:hAnsiTheme="minorEastAsia"/>
                <w:color w:val="000000"/>
                <w:szCs w:val="24"/>
              </w:rPr>
              <w:t>1982年5月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941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现工作单位或人事关系所在部门</w:t>
            </w:r>
          </w:p>
        </w:tc>
        <w:tc>
          <w:tcPr>
            <w:tcW w:w="8479" w:type="dxa"/>
            <w:gridSpan w:val="5"/>
            <w:vAlign w:val="center"/>
          </w:tcPr>
          <w:p>
            <w:pPr>
              <w:rPr>
                <w:rFonts w:ascii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>四川大学文学与新闻学院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941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最后学位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授予学位单位</w:t>
            </w:r>
          </w:p>
        </w:tc>
        <w:tc>
          <w:tcPr>
            <w:tcW w:w="19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color w:val="000000"/>
                <w:sz w:val="20"/>
                <w:szCs w:val="20"/>
              </w:rPr>
              <w:t>四川大学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最后学习阶段导师</w:t>
            </w:r>
          </w:p>
        </w:tc>
        <w:tc>
          <w:tcPr>
            <w:tcW w:w="1665" w:type="dxa"/>
          </w:tcPr>
          <w:p>
            <w:pPr>
              <w:rPr>
                <w:rFonts w:hint="eastAsia" w:cs="Times New Roman" w:asciiTheme="minorEastAsia" w:hAnsiTheme="minorEastAsia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color w:val="000000"/>
                <w:sz w:val="20"/>
                <w:szCs w:val="20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941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国内外主要学术及社会兼职</w:t>
            </w:r>
          </w:p>
        </w:tc>
        <w:tc>
          <w:tcPr>
            <w:tcW w:w="5397" w:type="dxa"/>
            <w:gridSpan w:val="3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从事</w:t>
            </w:r>
            <w:r>
              <w:rPr>
                <w:rFonts w:ascii="宋体" w:hAnsi="宋体" w:eastAsia="宋体" w:cs="Times New Roman"/>
                <w:color w:val="000000"/>
                <w:sz w:val="20"/>
                <w:szCs w:val="20"/>
              </w:rPr>
              <w:t>专业</w:t>
            </w:r>
          </w:p>
        </w:tc>
        <w:tc>
          <w:tcPr>
            <w:tcW w:w="1665" w:type="dxa"/>
            <w:vAlign w:val="center"/>
          </w:tcPr>
          <w:p>
            <w:pPr>
              <w:rPr>
                <w:rFonts w:ascii="宋体" w:hAnsi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  <w:jc w:val="center"/>
        </w:trPr>
        <w:tc>
          <w:tcPr>
            <w:tcW w:w="194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主要学术成绩、创新成果及评价</w:t>
            </w:r>
          </w:p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（限800字以内）</w:t>
            </w:r>
          </w:p>
        </w:tc>
        <w:tc>
          <w:tcPr>
            <w:tcW w:w="8479" w:type="dxa"/>
            <w:gridSpan w:val="5"/>
            <w:vAlign w:val="center"/>
          </w:tcPr>
          <w:p>
            <w:pPr>
              <w:widowControl/>
              <w:jc w:val="left"/>
              <w:rPr>
                <w:rFonts w:ascii="宋体" w:hAnsi="Times New Roman" w:cs="Times New Roman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与研究项目三项：《成都传媒集团产业创新发展对策研究》项目一项，国家社科项目《传统媒体与新型媒体融合发展研究》项目一项，《国家电网品牌传播的实践与思考》项目一项，该项目获国家电网公司一等奖。发表学术论文3篇，《互动仪式理论视阈下的网络话题事件的情感传播研究》（CSSCI，第二作者，导师为第一作者）；《情感传播的原型沉淀》（CSSCI，第二作者，导师为第一作者）；《符号学视阈下移动阅读文本嬗变研究》（CSSCI，第一作者）。著作两部：《中国城市品牌突围——兼论以人为本的城市品牌观》（四川大学出版社，2014年8月出版），《文艺基本问题的符号学阐释》（四川大学出版社，2015年6月出版）。</w:t>
            </w:r>
          </w:p>
          <w:p>
            <w:pPr>
              <w:ind w:firstLine="300" w:firstLineChars="150"/>
              <w:jc w:val="left"/>
              <w:rPr>
                <w:rFonts w:ascii="宋体" w:hAnsi="Times New Roman" w:eastAsia="宋体" w:cs="Times New Roman"/>
                <w:sz w:val="20"/>
                <w:szCs w:val="20"/>
              </w:rPr>
            </w:pPr>
          </w:p>
          <w:p>
            <w:pPr>
              <w:jc w:val="left"/>
              <w:rPr>
                <w:rFonts w:ascii="宋体" w:hAnsi="Times New Roman" w:eastAsia="宋体" w:cs="Times New Roman"/>
                <w:b/>
                <w:szCs w:val="24"/>
              </w:rPr>
            </w:pPr>
          </w:p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ab/>
      </w: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ind w:firstLine="361" w:firstLineChars="15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、学习经历</w:t>
      </w:r>
    </w:p>
    <w:tbl>
      <w:tblPr>
        <w:tblStyle w:val="5"/>
        <w:tblW w:w="104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2224"/>
        <w:gridCol w:w="1801"/>
        <w:gridCol w:w="2024"/>
        <w:gridCol w:w="1770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学历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学位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起止时间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毕业学校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所学专业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导师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培养方式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本科</w:t>
            </w:r>
          </w:p>
        </w:tc>
        <w:tc>
          <w:tcPr>
            <w:tcW w:w="2224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2001.9-2005.6</w:t>
            </w:r>
          </w:p>
        </w:tc>
        <w:tc>
          <w:tcPr>
            <w:tcW w:w="1801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四川师范大学</w:t>
            </w:r>
          </w:p>
        </w:tc>
        <w:tc>
          <w:tcPr>
            <w:tcW w:w="2024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汉语言文学</w:t>
            </w:r>
          </w:p>
        </w:tc>
        <w:tc>
          <w:tcPr>
            <w:tcW w:w="177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脱产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硕士</w:t>
            </w:r>
          </w:p>
        </w:tc>
        <w:tc>
          <w:tcPr>
            <w:tcW w:w="2224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2006.9-2009.6</w:t>
            </w:r>
          </w:p>
        </w:tc>
        <w:tc>
          <w:tcPr>
            <w:tcW w:w="1801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四川大学</w:t>
            </w:r>
          </w:p>
        </w:tc>
        <w:tc>
          <w:tcPr>
            <w:tcW w:w="2024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中国古代文学</w:t>
            </w:r>
          </w:p>
        </w:tc>
        <w:tc>
          <w:tcPr>
            <w:tcW w:w="1770" w:type="dxa"/>
            <w:vAlign w:val="center"/>
          </w:tcPr>
          <w:p>
            <w:pPr>
              <w:rPr>
                <w:rFonts w:hint="eastAsia" w:cs="Times New Roman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脱产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博士</w:t>
            </w:r>
          </w:p>
        </w:tc>
        <w:tc>
          <w:tcPr>
            <w:tcW w:w="2224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2013.9-2018.6</w:t>
            </w:r>
          </w:p>
        </w:tc>
        <w:tc>
          <w:tcPr>
            <w:tcW w:w="1801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四川大学</w:t>
            </w:r>
          </w:p>
        </w:tc>
        <w:tc>
          <w:tcPr>
            <w:tcW w:w="2024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文艺与传媒</w:t>
            </w:r>
          </w:p>
        </w:tc>
        <w:tc>
          <w:tcPr>
            <w:tcW w:w="1770" w:type="dxa"/>
            <w:vAlign w:val="center"/>
          </w:tcPr>
          <w:p>
            <w:pPr>
              <w:rPr>
                <w:rFonts w:hint="eastAsia" w:cs="Times New Roman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脱产</w:t>
            </w:r>
          </w:p>
        </w:tc>
      </w:tr>
    </w:tbl>
    <w:p>
      <w:pPr>
        <w:spacing w:line="360" w:lineRule="auto"/>
        <w:ind w:left="239" w:leftChars="114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、工作经历</w:t>
      </w:r>
    </w:p>
    <w:tbl>
      <w:tblPr>
        <w:tblStyle w:val="5"/>
        <w:tblW w:w="104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4"/>
        <w:gridCol w:w="3474"/>
        <w:gridCol w:w="3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47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起止时间</w:t>
            </w:r>
          </w:p>
        </w:tc>
        <w:tc>
          <w:tcPr>
            <w:tcW w:w="347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职位名称</w:t>
            </w:r>
          </w:p>
        </w:tc>
        <w:tc>
          <w:tcPr>
            <w:tcW w:w="347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任职单位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3474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2009.9-2013.9</w:t>
            </w:r>
          </w:p>
        </w:tc>
        <w:tc>
          <w:tcPr>
            <w:tcW w:w="3474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记者</w:t>
            </w:r>
          </w:p>
        </w:tc>
        <w:tc>
          <w:tcPr>
            <w:tcW w:w="3472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国网四川电力新闻中心</w:t>
            </w: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（西南电力报社）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474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474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、论文情况（</w:t>
      </w:r>
      <w:r>
        <w:rPr>
          <w:rFonts w:ascii="宋体" w:hAnsi="宋体" w:eastAsia="宋体" w:cs="Times New Roman"/>
          <w:b/>
          <w:szCs w:val="24"/>
        </w:rPr>
        <w:t>5</w:t>
      </w:r>
      <w:r>
        <w:rPr>
          <w:rFonts w:hint="eastAsia" w:ascii="宋体" w:hAnsi="宋体" w:eastAsia="宋体" w:cs="Times New Roman"/>
          <w:b/>
          <w:szCs w:val="24"/>
        </w:rPr>
        <w:t>篇以内代表性论文）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：</w:t>
      </w:r>
    </w:p>
    <w:tbl>
      <w:tblPr>
        <w:tblStyle w:val="5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162"/>
        <w:gridCol w:w="1812"/>
        <w:gridCol w:w="897"/>
        <w:gridCol w:w="977"/>
        <w:gridCol w:w="1306"/>
        <w:gridCol w:w="1105"/>
        <w:gridCol w:w="942"/>
        <w:gridCol w:w="757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序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号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题目</w:t>
            </w:r>
          </w:p>
        </w:tc>
        <w:tc>
          <w:tcPr>
            <w:tcW w:w="18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发表刊物或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出版单位名称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年度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卷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期号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页码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作者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排名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第一作者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单位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刊物性质及期刊号</w:t>
            </w:r>
          </w:p>
        </w:tc>
        <w:tc>
          <w:tcPr>
            <w:tcW w:w="942" w:type="dxa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论文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分区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（学术期刊分级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A++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等，</w:t>
            </w:r>
            <w:r>
              <w:rPr>
                <w:rFonts w:ascii="Times New Roman" w:hAnsi="Times New Roman" w:eastAsia="宋体" w:cs="Times New Roman"/>
                <w:szCs w:val="24"/>
              </w:rPr>
              <w:t>SCI?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区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期刊类别影响因子及排序</w:t>
            </w: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他人引用次数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《符号学视阈下移动阅读文本嬗变研究》》</w:t>
            </w:r>
          </w:p>
        </w:tc>
        <w:tc>
          <w:tcPr>
            <w:tcW w:w="1812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《编辑之友》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2018年第4期，总第260期，第30-33页。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第一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四川大学文学与新闻学院</w:t>
            </w:r>
          </w:p>
        </w:tc>
        <w:tc>
          <w:tcPr>
            <w:tcW w:w="1105" w:type="dxa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中文新闻传播类核心期刊，统一刊号：CN 14-1068/G2 ISSN 1003-6687 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CSSCI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</w:t>
            </w:r>
          </w:p>
        </w:tc>
        <w:tc>
          <w:tcPr>
            <w:tcW w:w="1162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《情感传播的原型沉淀》</w:t>
            </w:r>
          </w:p>
        </w:tc>
        <w:tc>
          <w:tcPr>
            <w:tcW w:w="1812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《现代传播》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2017年第5期，总第250期，第12-15页。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第二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四川大学文学与新闻学院</w:t>
            </w:r>
          </w:p>
        </w:tc>
        <w:tc>
          <w:tcPr>
            <w:tcW w:w="1105" w:type="dxa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全国中文核心期刊，统一刊号：CN11-5363/G2 ISSN 1007-8770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CSSCI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</w:t>
            </w:r>
          </w:p>
        </w:tc>
        <w:tc>
          <w:tcPr>
            <w:tcW w:w="1162" w:type="dxa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《互动仪式理论视阈下网络话题事件的情感传播研究》</w:t>
            </w:r>
          </w:p>
        </w:tc>
        <w:tc>
          <w:tcPr>
            <w:tcW w:w="1812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《湘潭大学学报（哲学社会科学版）》</w:t>
            </w:r>
          </w:p>
        </w:tc>
        <w:tc>
          <w:tcPr>
            <w:tcW w:w="897" w:type="dxa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2016年第2期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第二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四川大学文学与新闻学院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CSSCI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</w:t>
            </w:r>
          </w:p>
        </w:tc>
        <w:tc>
          <w:tcPr>
            <w:tcW w:w="1162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>
            <w:pPr>
              <w:ind w:firstLine="100" w:firstLineChars="5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</w:t>
            </w:r>
          </w:p>
        </w:tc>
        <w:tc>
          <w:tcPr>
            <w:tcW w:w="1162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>
            <w:pPr>
              <w:ind w:firstLine="100" w:firstLineChars="5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02" w:firstLineChars="200"/>
        <w:rPr>
          <w:rFonts w:ascii="Times New Roman" w:hAnsi="Times New Roman" w:eastAsia="宋体" w:cs="Times New Roman"/>
          <w:b/>
          <w:sz w:val="20"/>
          <w:szCs w:val="20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、科研项目</w:t>
      </w:r>
      <w:r>
        <w:rPr>
          <w:rFonts w:ascii="Times New Roman" w:hAnsi="Times New Roman" w:eastAsia="宋体" w:cs="Times New Roman"/>
          <w:b/>
          <w:sz w:val="24"/>
          <w:szCs w:val="24"/>
        </w:rPr>
        <w:t> :</w:t>
      </w:r>
    </w:p>
    <w:tbl>
      <w:tblPr>
        <w:tblStyle w:val="5"/>
        <w:tblW w:w="1043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3402"/>
        <w:gridCol w:w="2365"/>
        <w:gridCol w:w="1241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项目时间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365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项目类型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经费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参与状况（排序）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2014年9月</w:t>
            </w:r>
          </w:p>
        </w:tc>
        <w:tc>
          <w:tcPr>
            <w:tcW w:w="3402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20"/>
                <w:szCs w:val="20"/>
              </w:rPr>
              <w:t>《成都传媒集团产业创新发展对策研究》</w:t>
            </w:r>
          </w:p>
        </w:tc>
        <w:tc>
          <w:tcPr>
            <w:tcW w:w="2365" w:type="dxa"/>
          </w:tcPr>
          <w:p>
            <w:pPr>
              <w:ind w:right="101" w:rightChars="48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横向课题</w:t>
            </w: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20"/>
                <w:szCs w:val="20"/>
              </w:rPr>
              <w:t>60万</w:t>
            </w: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第二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2014年12月</w:t>
            </w: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20"/>
                <w:szCs w:val="20"/>
              </w:rPr>
              <w:t>《国家电网品牌传播的实践与思考》</w:t>
            </w:r>
          </w:p>
        </w:tc>
        <w:tc>
          <w:tcPr>
            <w:tcW w:w="2365" w:type="dxa"/>
          </w:tcPr>
          <w:p>
            <w:pPr>
              <w:ind w:right="101" w:rightChars="48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横向课题</w:t>
            </w: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10万</w:t>
            </w: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个人作为第三方咨询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2015年2月</w:t>
            </w: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《传统媒体与新媒体融合发展研究》</w:t>
            </w:r>
          </w:p>
        </w:tc>
        <w:tc>
          <w:tcPr>
            <w:tcW w:w="2365" w:type="dxa"/>
          </w:tcPr>
          <w:p>
            <w:pPr>
              <w:ind w:right="101" w:rightChars="48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国家社科课题</w:t>
            </w: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20万</w:t>
            </w: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第</w:t>
            </w:r>
            <w:r>
              <w:rPr>
                <w:rFonts w:hint="eastAsia" w:cs="Times New Roman" w:asciiTheme="minorEastAsia" w:hAnsiTheme="minorEastAsia"/>
                <w:kern w:val="0"/>
                <w:sz w:val="20"/>
                <w:szCs w:val="20"/>
              </w:rPr>
              <w:t>五</w:t>
            </w: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、出版专著</w:t>
      </w:r>
    </w:p>
    <w:tbl>
      <w:tblPr>
        <w:tblStyle w:val="5"/>
        <w:tblW w:w="104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1275"/>
        <w:gridCol w:w="2127"/>
        <w:gridCol w:w="1275"/>
        <w:gridCol w:w="18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</w:trPr>
        <w:tc>
          <w:tcPr>
            <w:tcW w:w="393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著作名称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作者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出版社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出版年份</w:t>
            </w:r>
          </w:p>
        </w:tc>
        <w:tc>
          <w:tcPr>
            <w:tcW w:w="180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ISBN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6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《中国城市品牌突围——兼论以人为本的城市品牌观》</w:t>
            </w:r>
          </w:p>
        </w:tc>
        <w:tc>
          <w:tcPr>
            <w:tcW w:w="1275" w:type="dxa"/>
          </w:tcPr>
          <w:p>
            <w:pP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212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四川大学出版社</w:t>
            </w:r>
          </w:p>
        </w:tc>
        <w:tc>
          <w:tcPr>
            <w:tcW w:w="1275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2014年9月</w:t>
            </w:r>
          </w:p>
        </w:tc>
        <w:tc>
          <w:tcPr>
            <w:tcW w:w="1807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9787561479056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6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《文艺基本问题的符号学阐释》</w:t>
            </w:r>
          </w:p>
        </w:tc>
        <w:tc>
          <w:tcPr>
            <w:tcW w:w="1275" w:type="dxa"/>
          </w:tcPr>
          <w:p>
            <w:pP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***</w:t>
            </w:r>
            <w:bookmarkStart w:id="0" w:name="_GoBack"/>
            <w:bookmarkEnd w:id="0"/>
          </w:p>
        </w:tc>
        <w:tc>
          <w:tcPr>
            <w:tcW w:w="212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四川大学出版社</w:t>
            </w:r>
          </w:p>
        </w:tc>
        <w:tc>
          <w:tcPr>
            <w:tcW w:w="1275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2015年5月</w:t>
            </w:r>
          </w:p>
        </w:tc>
        <w:tc>
          <w:tcPr>
            <w:tcW w:w="1807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9787561484784</w:t>
            </w:r>
          </w:p>
        </w:tc>
      </w:tr>
    </w:tbl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、专利情况</w:t>
      </w:r>
    </w:p>
    <w:tbl>
      <w:tblPr>
        <w:tblStyle w:val="5"/>
        <w:tblW w:w="104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260"/>
        <w:gridCol w:w="1701"/>
        <w:gridCol w:w="1276"/>
        <w:gridCol w:w="1275"/>
        <w:gridCol w:w="18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专利类别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专利名称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专利所有人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授权时间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授权国别</w:t>
            </w:r>
          </w:p>
        </w:tc>
        <w:tc>
          <w:tcPr>
            <w:tcW w:w="180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FF0000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FF0000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宋体" w:eastAsia="宋体" w:cs="Times New Roman"/>
          <w:b/>
          <w:color w:val="000000" w:themeColor="text1"/>
          <w:sz w:val="24"/>
          <w:szCs w:val="24"/>
        </w:rPr>
      </w:pPr>
    </w:p>
    <w:p>
      <w:pPr>
        <w:spacing w:line="360" w:lineRule="auto"/>
        <w:rPr>
          <w:rFonts w:ascii="宋体" w:hAnsi="Times New Roman" w:eastAsia="宋体" w:cs="Times New Roman"/>
          <w:b/>
          <w:color w:val="000000" w:themeColor="text1"/>
          <w:sz w:val="24"/>
          <w:szCs w:val="24"/>
        </w:rPr>
      </w:pPr>
      <w:r>
        <w:rPr>
          <w:rFonts w:ascii="宋体" w:hAnsi="宋体" w:eastAsia="宋体" w:cs="Times New Roman"/>
          <w:b/>
          <w:color w:val="000000" w:themeColor="text1"/>
          <w:sz w:val="24"/>
          <w:szCs w:val="24"/>
        </w:rPr>
        <w:t>8</w:t>
      </w:r>
      <w:r>
        <w:rPr>
          <w:rFonts w:hint="eastAsia" w:ascii="宋体" w:hAnsi="宋体" w:eastAsia="宋体" w:cs="Times New Roman"/>
          <w:b/>
          <w:color w:val="000000" w:themeColor="text1"/>
          <w:sz w:val="24"/>
          <w:szCs w:val="24"/>
        </w:rPr>
        <w:t>、获奖情况：</w:t>
      </w:r>
    </w:p>
    <w:tbl>
      <w:tblPr>
        <w:tblStyle w:val="5"/>
        <w:tblW w:w="10437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3402"/>
        <w:gridCol w:w="3668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24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时间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名称</w:t>
            </w:r>
          </w:p>
        </w:tc>
        <w:tc>
          <w:tcPr>
            <w:tcW w:w="3668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奖项与等级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排序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24" w:type="dxa"/>
          </w:tcPr>
          <w:p>
            <w:pPr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2011年</w:t>
            </w:r>
          </w:p>
        </w:tc>
        <w:tc>
          <w:tcPr>
            <w:tcW w:w="3402" w:type="dxa"/>
          </w:tcPr>
          <w:p>
            <w:pPr>
              <w:tabs>
                <w:tab w:val="left" w:pos="8158"/>
              </w:tabs>
              <w:ind w:right="317" w:rightChars="151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采写作品</w:t>
            </w:r>
            <w:r>
              <w:rPr>
                <w:rFonts w:hint="eastAsia" w:cs="Times New Roman" w:asciiTheme="minorEastAsia" w:hAnsiTheme="minorEastAsia"/>
                <w:kern w:val="0"/>
                <w:sz w:val="20"/>
                <w:szCs w:val="20"/>
              </w:rPr>
              <w:t>《习近平考察四川省电力公司共产党员服务队》</w:t>
            </w:r>
          </w:p>
        </w:tc>
        <w:tc>
          <w:tcPr>
            <w:tcW w:w="3668" w:type="dxa"/>
          </w:tcPr>
          <w:p>
            <w:pPr>
              <w:tabs>
                <w:tab w:val="left" w:pos="8158"/>
              </w:tabs>
              <w:ind w:right="317" w:rightChars="151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中国电力新闻报纸作品二等奖</w:t>
            </w:r>
          </w:p>
        </w:tc>
        <w:tc>
          <w:tcPr>
            <w:tcW w:w="1843" w:type="dxa"/>
          </w:tcPr>
          <w:p>
            <w:pPr>
              <w:ind w:right="101" w:rightChars="48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第一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24" w:type="dxa"/>
          </w:tcPr>
          <w:p>
            <w:pPr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2012年</w:t>
            </w:r>
          </w:p>
        </w:tc>
        <w:tc>
          <w:tcPr>
            <w:tcW w:w="3402" w:type="dxa"/>
          </w:tcPr>
          <w:p>
            <w:pPr>
              <w:spacing w:line="360" w:lineRule="auto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采写作品</w:t>
            </w:r>
            <w:r>
              <w:rPr>
                <w:rFonts w:hint="eastAsia" w:cs="Times New Roman" w:asciiTheme="minorEastAsia" w:hAnsiTheme="minorEastAsia"/>
                <w:kern w:val="0"/>
                <w:sz w:val="20"/>
                <w:szCs w:val="20"/>
              </w:rPr>
              <w:t>《安规首先考领导》</w:t>
            </w:r>
          </w:p>
        </w:tc>
        <w:tc>
          <w:tcPr>
            <w:tcW w:w="3668" w:type="dxa"/>
          </w:tcPr>
          <w:p>
            <w:pPr>
              <w:tabs>
                <w:tab w:val="left" w:pos="8158"/>
              </w:tabs>
              <w:ind w:right="317" w:rightChars="151"/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中国电力新闻报纸作品二等奖</w:t>
            </w:r>
          </w:p>
        </w:tc>
        <w:tc>
          <w:tcPr>
            <w:tcW w:w="1843" w:type="dxa"/>
          </w:tcPr>
          <w:p>
            <w:pPr>
              <w:rPr>
                <w:rFonts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kern w:val="0"/>
                <w:sz w:val="20"/>
                <w:szCs w:val="20"/>
              </w:rPr>
              <w:t>第一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24" w:type="dxa"/>
          </w:tcPr>
          <w:p>
            <w:pPr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2013年</w:t>
            </w:r>
          </w:p>
        </w:tc>
        <w:tc>
          <w:tcPr>
            <w:tcW w:w="3402" w:type="dxa"/>
          </w:tcPr>
          <w:p>
            <w:pPr>
              <w:spacing w:line="36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采写作品</w:t>
            </w: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《当灾区的夜晚华灯初亮——记四川省电力公司共产党员供电抢修队》</w:t>
            </w:r>
          </w:p>
        </w:tc>
        <w:tc>
          <w:tcPr>
            <w:tcW w:w="3668" w:type="dxa"/>
          </w:tcPr>
          <w:p>
            <w:pPr>
              <w:tabs>
                <w:tab w:val="left" w:pos="8158"/>
              </w:tabs>
              <w:ind w:right="317" w:rightChars="15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该作品发表于</w:t>
            </w: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《光明日报》头版头条，并获得国家电网公司表彰。</w:t>
            </w:r>
          </w:p>
        </w:tc>
        <w:tc>
          <w:tcPr>
            <w:tcW w:w="1843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第一</w:t>
            </w:r>
          </w:p>
        </w:tc>
      </w:tr>
    </w:tbl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  <w:highlight w:val="yellow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szCs w:val="24"/>
        </w:rPr>
      </w:pPr>
    </w:p>
    <w:p/>
    <w:sectPr>
      <w:headerReference r:id="rId3" w:type="default"/>
      <w:footerReference r:id="rId4" w:type="default"/>
      <w:pgSz w:w="11906" w:h="16838"/>
      <w:pgMar w:top="851" w:right="851" w:bottom="851" w:left="851" w:header="113" w:footer="34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b/>
        <w:sz w:val="24"/>
        <w:szCs w:val="24"/>
      </w:rPr>
    </w:pPr>
  </w:p>
  <w:p>
    <w:pPr>
      <w:pStyle w:val="2"/>
      <w:jc w:val="right"/>
      <w:rPr>
        <w:b/>
        <w:sz w:val="24"/>
        <w:szCs w:val="24"/>
      </w:rPr>
    </w:pPr>
  </w:p>
  <w:p>
    <w:pPr>
      <w:pStyle w:val="2"/>
      <w:jc w:val="right"/>
    </w:pPr>
    <w:r>
      <w:rPr>
        <w:b/>
      </w:rPr>
      <w:fldChar w:fldCharType="begin"/>
    </w:r>
    <w:r>
      <w:rPr>
        <w:b/>
      </w:rPr>
      <w:instrText xml:space="preserve">PAGE</w:instrText>
    </w:r>
    <w:r>
      <w:rPr>
        <w:b/>
      </w:rPr>
      <w:fldChar w:fldCharType="separate"/>
    </w:r>
    <w:r>
      <w:rPr>
        <w:b/>
      </w:rPr>
      <w:t>4</w:t>
    </w:r>
    <w:r>
      <w:rPr>
        <w:b/>
      </w:rPr>
      <w:fldChar w:fldCharType="end"/>
    </w:r>
    <w:r>
      <w:rPr>
        <w:lang w:val="zh-CN"/>
      </w:rPr>
      <w:t xml:space="preserve"> / </w:t>
    </w:r>
    <w:r>
      <w:rPr>
        <w:b/>
      </w:rPr>
      <w:fldChar w:fldCharType="begin"/>
    </w:r>
    <w:r>
      <w:rPr>
        <w:b/>
      </w:rPr>
      <w:instrText xml:space="preserve">NUMPAGES</w:instrText>
    </w:r>
    <w:r>
      <w:rPr>
        <w:b/>
      </w:rPr>
      <w:fldChar w:fldCharType="separate"/>
    </w:r>
    <w:r>
      <w:rPr>
        <w:b/>
      </w:rPr>
      <w:t>4</w:t>
    </w:r>
    <w:r>
      <w:rPr>
        <w:b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61302"/>
    <w:rsid w:val="00002ACB"/>
    <w:rsid w:val="00027705"/>
    <w:rsid w:val="0006689F"/>
    <w:rsid w:val="000D067C"/>
    <w:rsid w:val="000D77DF"/>
    <w:rsid w:val="00120CB3"/>
    <w:rsid w:val="001D22BF"/>
    <w:rsid w:val="001F68AB"/>
    <w:rsid w:val="00230779"/>
    <w:rsid w:val="002A3A56"/>
    <w:rsid w:val="00315C6F"/>
    <w:rsid w:val="00354646"/>
    <w:rsid w:val="00364F2C"/>
    <w:rsid w:val="00532936"/>
    <w:rsid w:val="005364F3"/>
    <w:rsid w:val="00541711"/>
    <w:rsid w:val="00550587"/>
    <w:rsid w:val="005603E4"/>
    <w:rsid w:val="005A4954"/>
    <w:rsid w:val="005A6836"/>
    <w:rsid w:val="005E4E49"/>
    <w:rsid w:val="006553D9"/>
    <w:rsid w:val="006B12C6"/>
    <w:rsid w:val="006E3CB8"/>
    <w:rsid w:val="00720D93"/>
    <w:rsid w:val="00721515"/>
    <w:rsid w:val="00757287"/>
    <w:rsid w:val="008561DD"/>
    <w:rsid w:val="00861302"/>
    <w:rsid w:val="008A5377"/>
    <w:rsid w:val="008C73B2"/>
    <w:rsid w:val="008E40A5"/>
    <w:rsid w:val="008F2A3D"/>
    <w:rsid w:val="00924567"/>
    <w:rsid w:val="009D274D"/>
    <w:rsid w:val="00B84BFF"/>
    <w:rsid w:val="00B86E92"/>
    <w:rsid w:val="00BD1B2C"/>
    <w:rsid w:val="00C17255"/>
    <w:rsid w:val="00C274A0"/>
    <w:rsid w:val="00CC1D35"/>
    <w:rsid w:val="00D14B4D"/>
    <w:rsid w:val="00DA3331"/>
    <w:rsid w:val="00DB59E9"/>
    <w:rsid w:val="00DD1698"/>
    <w:rsid w:val="00E40DDC"/>
    <w:rsid w:val="00EB02AC"/>
    <w:rsid w:val="00EC6196"/>
    <w:rsid w:val="00F136E0"/>
    <w:rsid w:val="00F20F34"/>
    <w:rsid w:val="00F41640"/>
    <w:rsid w:val="00F6072D"/>
    <w:rsid w:val="00FE26C2"/>
    <w:rsid w:val="00FF5DF3"/>
    <w:rsid w:val="01A959D9"/>
    <w:rsid w:val="1CEA414D"/>
    <w:rsid w:val="26C95ACC"/>
    <w:rsid w:val="3858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页脚 Char"/>
    <w:basedOn w:val="4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4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4</Pages>
  <Words>285</Words>
  <Characters>1631</Characters>
  <Lines>13</Lines>
  <Paragraphs>3</Paragraphs>
  <TotalTime>1</TotalTime>
  <ScaleCrop>false</ScaleCrop>
  <LinksUpToDate>false</LinksUpToDate>
  <CharactersWithSpaces>1913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2015-04-21T02:30:00Z</dcterms:created>
  <dc:creator>CJ</dc:creator>
  <cp:lastModifiedBy>路人</cp:lastModifiedBy>
  <dcterms:modified xsi:type="dcterms:W3CDTF">2018-07-04T08:28:02Z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  <property fmtid="{D5CDD505-2E9C-101B-9397-08002B2CF9AE}" pid="3" name="KSORubyTemplateID" linkTarget="0">
    <vt:lpwstr>6</vt:lpwstr>
  </property>
</Properties>
</file>