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B8916">
      <w:pPr>
        <w:spacing w:line="440" w:lineRule="atLeast"/>
        <w:ind w:left="900" w:hanging="900"/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36"/>
          <w:szCs w:val="36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6"/>
          <w:szCs w:val="36"/>
          <w:shd w:val="clear" w:color="auto" w:fill="FFFFFF"/>
          <w:lang w:bidi="ar"/>
        </w:rPr>
        <w:t>技术转移研究院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6"/>
          <w:szCs w:val="36"/>
          <w:shd w:val="clear" w:color="auto" w:fill="FFFFFF"/>
          <w:lang w:val="en-US" w:eastAsia="zh-CN" w:bidi="ar"/>
        </w:rPr>
        <w:t>关于刘金铃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6"/>
          <w:szCs w:val="36"/>
          <w:shd w:val="clear" w:color="auto" w:fill="FFFFFF"/>
          <w:lang w:bidi="ar"/>
        </w:rPr>
        <w:t>团队知识产权市场价值</w:t>
      </w:r>
    </w:p>
    <w:p w14:paraId="1DB4E4E3">
      <w:pPr>
        <w:spacing w:line="440" w:lineRule="atLeast"/>
        <w:ind w:left="900" w:hanging="900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6"/>
          <w:szCs w:val="36"/>
          <w:shd w:val="clear" w:color="auto" w:fill="FFFFFF"/>
          <w:lang w:bidi="ar"/>
        </w:rPr>
        <w:t>评估项目比价公告</w:t>
      </w:r>
    </w:p>
    <w:p w14:paraId="209A3EFB">
      <w:pPr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</w:p>
    <w:p w14:paraId="7168453B">
      <w:pPr>
        <w:spacing w:line="360" w:lineRule="auto"/>
        <w:ind w:firstLine="560" w:firstLineChars="200"/>
        <w:jc w:val="left"/>
        <w:rPr>
          <w:rFonts w:ascii="仿宋_GB2312" w:hAnsi="仿宋" w:eastAsia="仿宋_GB2312" w:cs="宋体"/>
          <w:sz w:val="28"/>
          <w:szCs w:val="28"/>
        </w:rPr>
      </w:pPr>
      <w:r>
        <w:rPr>
          <w:rFonts w:hint="eastAsia" w:ascii="仿宋_GB2312" w:hAnsi="仿宋" w:eastAsia="仿宋_GB2312" w:cs="宋体"/>
          <w:sz w:val="28"/>
          <w:szCs w:val="28"/>
        </w:rPr>
        <w:t>本采购项目由西南交通大学技术转移研究院根据《西南交通大学采购管理办法》（西交校计财〔2024〕11号）《技术转移研究院关于知识产权评估机构的遴选实施办法（修订）》通过审批程序，现进行</w:t>
      </w:r>
      <w:r>
        <w:rPr>
          <w:rFonts w:hint="eastAsia" w:ascii="黑体" w:hAnsi="黑体" w:eastAsia="黑体" w:cs="宋体"/>
          <w:b/>
          <w:sz w:val="28"/>
          <w:szCs w:val="28"/>
        </w:rPr>
        <w:t>比价</w:t>
      </w:r>
      <w:r>
        <w:rPr>
          <w:rFonts w:hint="eastAsia" w:ascii="仿宋_GB2312" w:hAnsi="仿宋" w:eastAsia="仿宋_GB2312" w:cs="宋体"/>
          <w:sz w:val="28"/>
          <w:szCs w:val="28"/>
        </w:rPr>
        <w:t>采购，欢迎合格供应商参加。</w:t>
      </w:r>
    </w:p>
    <w:p w14:paraId="222F316F">
      <w:pPr>
        <w:spacing w:line="360" w:lineRule="auto"/>
        <w:ind w:firstLine="562" w:firstLineChars="200"/>
        <w:rPr>
          <w:rFonts w:ascii="黑体" w:hAnsi="黑体" w:eastAsia="黑体" w:cs="宋体"/>
          <w:b/>
          <w:bCs/>
          <w:sz w:val="28"/>
          <w:szCs w:val="28"/>
        </w:rPr>
      </w:pPr>
      <w:r>
        <w:rPr>
          <w:rFonts w:hint="eastAsia" w:ascii="黑体" w:hAnsi="黑体" w:eastAsia="黑体" w:cs="宋体"/>
          <w:b/>
          <w:bCs/>
          <w:sz w:val="28"/>
          <w:szCs w:val="28"/>
        </w:rPr>
        <w:t>一、项目概况</w:t>
      </w:r>
    </w:p>
    <w:p w14:paraId="4AE9F142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1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>项目名称：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刘金铃</w:t>
      </w:r>
      <w:r>
        <w:rPr>
          <w:rFonts w:hint="eastAsia" w:ascii="仿宋_GB2312" w:hAnsi="仿宋" w:eastAsia="仿宋_GB2312"/>
          <w:sz w:val="28"/>
          <w:szCs w:val="28"/>
        </w:rPr>
        <w:t>团队知识产权市场价值评估</w:t>
      </w:r>
    </w:p>
    <w:p w14:paraId="24FCC326">
      <w:pPr>
        <w:spacing w:line="360" w:lineRule="auto"/>
        <w:ind w:firstLine="560" w:firstLineChars="200"/>
        <w:rPr>
          <w:rFonts w:hint="default" w:ascii="仿宋_GB2312" w:hAnsi="仿宋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/>
          <w:sz w:val="28"/>
          <w:szCs w:val="28"/>
        </w:rPr>
        <w:t>2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>项目编号：JZCG-2024-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08</w:t>
      </w:r>
    </w:p>
    <w:p w14:paraId="2E150445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3.资金来源：学校财政资金</w:t>
      </w:r>
    </w:p>
    <w:p w14:paraId="1216BBF2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4.知识产权成果清单</w:t>
      </w:r>
    </w:p>
    <w:p w14:paraId="009A883B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拟评估的知识产权成果共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" w:eastAsia="仿宋_GB2312"/>
          <w:sz w:val="28"/>
          <w:szCs w:val="28"/>
        </w:rPr>
        <w:t>个，具体如下。</w:t>
      </w:r>
    </w:p>
    <w:tbl>
      <w:tblPr>
        <w:tblStyle w:val="11"/>
        <w:tblW w:w="74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2565"/>
        <w:gridCol w:w="1368"/>
        <w:gridCol w:w="1476"/>
        <w:gridCol w:w="1353"/>
      </w:tblGrid>
      <w:tr w14:paraId="71F0B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" w:type="dxa"/>
            <w:vAlign w:val="center"/>
          </w:tcPr>
          <w:p w14:paraId="7732D2E9">
            <w:pPr>
              <w:ind w:left="525" w:hanging="525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序号</w:t>
            </w:r>
          </w:p>
        </w:tc>
        <w:tc>
          <w:tcPr>
            <w:tcW w:w="2565" w:type="dxa"/>
            <w:vAlign w:val="center"/>
          </w:tcPr>
          <w:p w14:paraId="3E0BF7E1">
            <w:pPr>
              <w:ind w:left="525" w:hanging="525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知识产权成果名称</w:t>
            </w:r>
          </w:p>
        </w:tc>
        <w:tc>
          <w:tcPr>
            <w:tcW w:w="1368" w:type="dxa"/>
            <w:vAlign w:val="center"/>
          </w:tcPr>
          <w:p w14:paraId="0C80103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知识产权成果类型</w:t>
            </w:r>
          </w:p>
        </w:tc>
        <w:tc>
          <w:tcPr>
            <w:tcW w:w="1476" w:type="dxa"/>
            <w:vAlign w:val="center"/>
          </w:tcPr>
          <w:p w14:paraId="60CB99B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专利号</w:t>
            </w:r>
          </w:p>
        </w:tc>
        <w:tc>
          <w:tcPr>
            <w:tcW w:w="1353" w:type="dxa"/>
            <w:vAlign w:val="center"/>
          </w:tcPr>
          <w:p w14:paraId="60D9C4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成果完成人</w:t>
            </w:r>
          </w:p>
        </w:tc>
      </w:tr>
      <w:tr w14:paraId="5D5E1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" w:type="dxa"/>
            <w:vAlign w:val="center"/>
          </w:tcPr>
          <w:p w14:paraId="45ACFDA6">
            <w:pPr>
              <w:ind w:left="525" w:hanging="525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</w:t>
            </w:r>
          </w:p>
        </w:tc>
        <w:tc>
          <w:tcPr>
            <w:tcW w:w="2565" w:type="dxa"/>
            <w:vAlign w:val="center"/>
          </w:tcPr>
          <w:p w14:paraId="2788E0D3">
            <w:pPr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一种含高密度位错/层错的无粘结相超细晶碳化钨硬质合金及其制备方法</w:t>
            </w:r>
          </w:p>
        </w:tc>
        <w:tc>
          <w:tcPr>
            <w:tcW w:w="1368" w:type="dxa"/>
            <w:vAlign w:val="center"/>
          </w:tcPr>
          <w:p w14:paraId="0D926754">
            <w:pPr>
              <w:jc w:val="center"/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发明专利</w:t>
            </w:r>
          </w:p>
          <w:p w14:paraId="22078483">
            <w:pPr>
              <w:ind w:left="525" w:hanging="525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10C4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/>
                <w:szCs w:val="21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202210799407.X</w:t>
            </w:r>
          </w:p>
        </w:tc>
        <w:tc>
          <w:tcPr>
            <w:tcW w:w="1353" w:type="dxa"/>
            <w:vAlign w:val="center"/>
          </w:tcPr>
          <w:p w14:paraId="01229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赵科；刘金铃</w:t>
            </w:r>
            <w:bookmarkStart w:id="0" w:name="_GoBack"/>
            <w:bookmarkEnd w:id="0"/>
            <w:r>
              <w:rPr>
                <w:rFonts w:hint="eastAsia" w:eastAsia="仿宋_GB2312"/>
                <w:szCs w:val="21"/>
                <w:lang w:val="en-US" w:eastAsia="zh-CN"/>
              </w:rPr>
              <w:t>；刘佃光</w:t>
            </w:r>
          </w:p>
        </w:tc>
      </w:tr>
    </w:tbl>
    <w:p w14:paraId="1453ACA6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5.评估基准日：本项目选取的评估基准日为2024年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" w:eastAsia="仿宋_GB2312"/>
          <w:sz w:val="28"/>
          <w:szCs w:val="28"/>
        </w:rPr>
        <w:t>月</w:t>
      </w:r>
      <w:r>
        <w:rPr>
          <w:rFonts w:ascii="仿宋_GB2312" w:hAnsi="仿宋" w:eastAsia="仿宋_GB2312"/>
          <w:sz w:val="28"/>
          <w:szCs w:val="28"/>
        </w:rPr>
        <w:t>3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" w:eastAsia="仿宋_GB2312"/>
          <w:sz w:val="28"/>
          <w:szCs w:val="28"/>
        </w:rPr>
        <w:t>日。</w:t>
      </w:r>
    </w:p>
    <w:p w14:paraId="7A371504">
      <w:pPr>
        <w:spacing w:line="360" w:lineRule="auto"/>
        <w:ind w:firstLine="562" w:firstLineChars="200"/>
        <w:rPr>
          <w:rFonts w:ascii="黑体" w:hAnsi="黑体" w:eastAsia="黑体" w:cs="宋体"/>
          <w:b/>
          <w:bCs/>
          <w:sz w:val="28"/>
          <w:szCs w:val="28"/>
        </w:rPr>
      </w:pPr>
      <w:r>
        <w:rPr>
          <w:rFonts w:hint="eastAsia" w:ascii="黑体" w:hAnsi="黑体" w:eastAsia="黑体" w:cs="宋体"/>
          <w:b/>
          <w:bCs/>
          <w:sz w:val="28"/>
          <w:szCs w:val="28"/>
        </w:rPr>
        <w:t>二、供应商参加本次采购活动应具备的条件</w:t>
      </w:r>
    </w:p>
    <w:p w14:paraId="633F18BF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1.具有独立承担民事责任的能力，具有良好的商业信誉和健全的财务会计制度，具有履行合同所必需的设备和专业技术能力，有依法缴纳税收和社会保障资金的良好记录。</w:t>
      </w:r>
    </w:p>
    <w:p w14:paraId="0252B839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2.参加本次采购活动的供应商必须为未被列入“信用中国”网站(www.creditchina.gov.cn)、中国政府采购网(www.ccgp.gov.cn)渠道信用记录失信被执行人、重大税收违法案件当事人名单、政府采购严重违法失信行为记录名单的供应商。</w:t>
      </w:r>
    </w:p>
    <w:p w14:paraId="791B3F89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3.本次采购活动不允许代理商参与。</w:t>
      </w:r>
    </w:p>
    <w:p w14:paraId="480750D7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4.本次采购活动不接受供应商以联合体的形式参与。</w:t>
      </w:r>
    </w:p>
    <w:p w14:paraId="1F09C175">
      <w:pPr>
        <w:spacing w:line="360" w:lineRule="auto"/>
        <w:ind w:firstLine="562" w:firstLineChars="200"/>
        <w:rPr>
          <w:rFonts w:ascii="黑体" w:hAnsi="黑体" w:eastAsia="黑体" w:cs="宋体"/>
          <w:b/>
          <w:bCs/>
          <w:sz w:val="28"/>
          <w:szCs w:val="28"/>
        </w:rPr>
      </w:pPr>
      <w:r>
        <w:rPr>
          <w:rFonts w:hint="eastAsia" w:ascii="黑体" w:hAnsi="黑体" w:eastAsia="黑体" w:cs="宋体"/>
          <w:b/>
          <w:bCs/>
          <w:sz w:val="28"/>
          <w:szCs w:val="28"/>
        </w:rPr>
        <w:t>三、报价要求</w:t>
      </w:r>
      <w:r>
        <w:rPr>
          <w:rFonts w:hint="eastAsia" w:ascii="黑体" w:hAnsi="黑体" w:eastAsia="黑体" w:cs="宋体"/>
          <w:b/>
          <w:bCs/>
          <w:sz w:val="28"/>
          <w:szCs w:val="28"/>
        </w:rPr>
        <w:tab/>
      </w:r>
    </w:p>
    <w:p w14:paraId="224601A1">
      <w:pPr>
        <w:spacing w:line="360" w:lineRule="auto"/>
        <w:ind w:firstLine="560" w:firstLineChars="200"/>
        <w:jc w:val="left"/>
        <w:rPr>
          <w:rFonts w:ascii="仿宋_GB2312" w:hAnsi="仿宋" w:eastAsia="仿宋_GB2312" w:cs="宋体"/>
          <w:sz w:val="28"/>
          <w:szCs w:val="28"/>
        </w:rPr>
      </w:pPr>
      <w:r>
        <w:rPr>
          <w:rFonts w:hint="eastAsia" w:ascii="仿宋_GB2312" w:hAnsi="仿宋" w:eastAsia="仿宋_GB2312" w:cs="宋体"/>
          <w:sz w:val="28"/>
          <w:szCs w:val="28"/>
        </w:rPr>
        <w:t>1</w:t>
      </w:r>
      <w:r>
        <w:rPr>
          <w:rFonts w:ascii="仿宋_GB2312" w:hAnsi="仿宋" w:eastAsia="仿宋_GB2312" w:cs="宋体"/>
          <w:sz w:val="28"/>
          <w:szCs w:val="28"/>
        </w:rPr>
        <w:t>.</w:t>
      </w:r>
      <w:r>
        <w:rPr>
          <w:rFonts w:hint="eastAsia" w:ascii="仿宋_GB2312" w:hAnsi="仿宋" w:eastAsia="仿宋_GB2312" w:cs="宋体"/>
          <w:sz w:val="28"/>
          <w:szCs w:val="28"/>
        </w:rPr>
        <w:t>请分别对上述项目进行独立报价，报价时须写明服务内容、单价、总价、交付方式及交付期。</w:t>
      </w:r>
    </w:p>
    <w:p w14:paraId="4AC76117">
      <w:pPr>
        <w:spacing w:line="360" w:lineRule="auto"/>
        <w:ind w:firstLine="560" w:firstLineChars="200"/>
        <w:jc w:val="left"/>
        <w:rPr>
          <w:rFonts w:ascii="仿宋_GB2312" w:hAnsi="仿宋" w:eastAsia="仿宋_GB2312" w:cs="宋体"/>
          <w:sz w:val="28"/>
          <w:szCs w:val="28"/>
        </w:rPr>
      </w:pPr>
      <w:r>
        <w:rPr>
          <w:rFonts w:hint="eastAsia" w:ascii="仿宋_GB2312" w:hAnsi="仿宋" w:eastAsia="仿宋_GB2312" w:cs="宋体"/>
          <w:sz w:val="28"/>
          <w:szCs w:val="28"/>
        </w:rPr>
        <w:t>2</w:t>
      </w:r>
      <w:r>
        <w:rPr>
          <w:rFonts w:ascii="仿宋_GB2312" w:hAnsi="仿宋" w:eastAsia="仿宋_GB2312" w:cs="宋体"/>
          <w:sz w:val="28"/>
          <w:szCs w:val="28"/>
        </w:rPr>
        <w:t>.</w:t>
      </w:r>
      <w:r>
        <w:rPr>
          <w:rFonts w:hint="eastAsia" w:ascii="仿宋_GB2312" w:hAnsi="仿宋" w:eastAsia="仿宋_GB2312" w:cs="宋体"/>
          <w:sz w:val="28"/>
          <w:szCs w:val="28"/>
        </w:rPr>
        <w:t>报价包含人工、差旅、印刷、运输、市场浮动因素及相关税费等一切费用。</w:t>
      </w:r>
    </w:p>
    <w:p w14:paraId="2E421A07">
      <w:pPr>
        <w:spacing w:line="360" w:lineRule="auto"/>
        <w:ind w:firstLine="560" w:firstLineChars="200"/>
        <w:jc w:val="left"/>
        <w:rPr>
          <w:rFonts w:ascii="仿宋_GB2312" w:hAnsi="仿宋" w:eastAsia="仿宋_GB2312" w:cs="宋体"/>
          <w:sz w:val="28"/>
          <w:szCs w:val="28"/>
        </w:rPr>
      </w:pPr>
      <w:r>
        <w:rPr>
          <w:rFonts w:hint="eastAsia" w:ascii="仿宋_GB2312" w:hAnsi="仿宋" w:eastAsia="仿宋_GB2312" w:cs="宋体"/>
          <w:sz w:val="28"/>
          <w:szCs w:val="28"/>
        </w:rPr>
        <w:t>3</w:t>
      </w:r>
      <w:r>
        <w:rPr>
          <w:rFonts w:ascii="仿宋_GB2312" w:hAnsi="仿宋" w:eastAsia="仿宋_GB2312" w:cs="宋体"/>
          <w:sz w:val="28"/>
          <w:szCs w:val="28"/>
        </w:rPr>
        <w:t>.</w:t>
      </w:r>
      <w:r>
        <w:rPr>
          <w:rFonts w:hint="eastAsia" w:ascii="仿宋_GB2312" w:hAnsi="仿宋" w:eastAsia="仿宋_GB2312" w:cs="宋体"/>
          <w:sz w:val="28"/>
          <w:szCs w:val="28"/>
        </w:rPr>
        <w:t>报价文件最低有效期为递交报价文件截止之日起60天。报价文件中必须载明报价文件有效期，报价文件中载明的有效期可以长于比价公告规定的期限，但不得短于比价公告规定的期限。否则，该报价文件将作为无效报价处理。</w:t>
      </w:r>
    </w:p>
    <w:p w14:paraId="1160294E">
      <w:pPr>
        <w:spacing w:line="360" w:lineRule="auto"/>
        <w:ind w:firstLine="560" w:firstLineChars="200"/>
        <w:jc w:val="left"/>
        <w:rPr>
          <w:rFonts w:ascii="仿宋_GB2312" w:hAnsi="仿宋" w:eastAsia="仿宋_GB2312" w:cs="宋体"/>
          <w:sz w:val="28"/>
          <w:szCs w:val="28"/>
        </w:rPr>
      </w:pPr>
      <w:r>
        <w:rPr>
          <w:rFonts w:hint="eastAsia" w:ascii="仿宋_GB2312" w:hAnsi="仿宋" w:eastAsia="仿宋_GB2312" w:cs="宋体"/>
          <w:sz w:val="28"/>
          <w:szCs w:val="28"/>
        </w:rPr>
        <w:t>4</w:t>
      </w:r>
      <w:r>
        <w:rPr>
          <w:rFonts w:ascii="仿宋_GB2312" w:hAnsi="仿宋" w:eastAsia="仿宋_GB2312" w:cs="宋体"/>
          <w:sz w:val="28"/>
          <w:szCs w:val="28"/>
        </w:rPr>
        <w:t>.</w:t>
      </w:r>
      <w:r>
        <w:rPr>
          <w:rFonts w:hint="eastAsia" w:ascii="仿宋_GB2312" w:hAnsi="仿宋" w:eastAsia="仿宋_GB2312" w:cs="宋体"/>
          <w:sz w:val="28"/>
          <w:szCs w:val="28"/>
        </w:rPr>
        <w:t>根据《西南交通大学采购管理办法》（西交校计财〔2024 〕11 号）《西南交通大学关于公布分散采购限额标准的通知》（西交校计财〔2024 〕13 号），若报价在</w:t>
      </w:r>
      <w:r>
        <w:rPr>
          <w:rFonts w:hint="eastAsia" w:ascii="黑体" w:hAnsi="黑体" w:eastAsia="黑体" w:cs="宋体"/>
          <w:b/>
          <w:sz w:val="28"/>
          <w:szCs w:val="28"/>
        </w:rPr>
        <w:t>20万元（含）以上</w:t>
      </w:r>
      <w:r>
        <w:rPr>
          <w:rFonts w:hint="eastAsia" w:ascii="仿宋_GB2312" w:hAnsi="仿宋" w:eastAsia="仿宋_GB2312" w:cs="宋体"/>
          <w:sz w:val="28"/>
          <w:szCs w:val="28"/>
        </w:rPr>
        <w:t>，需实行集中采购，本次比价活动无效。</w:t>
      </w:r>
    </w:p>
    <w:p w14:paraId="638DF396">
      <w:pPr>
        <w:spacing w:line="360" w:lineRule="auto"/>
        <w:ind w:firstLine="562" w:firstLineChars="200"/>
        <w:rPr>
          <w:rFonts w:ascii="黑体" w:hAnsi="黑体" w:eastAsia="黑体" w:cs="宋体"/>
          <w:b/>
          <w:bCs/>
          <w:sz w:val="28"/>
          <w:szCs w:val="28"/>
        </w:rPr>
      </w:pPr>
      <w:r>
        <w:rPr>
          <w:rFonts w:hint="eastAsia" w:ascii="黑体" w:hAnsi="黑体" w:eastAsia="黑体" w:cs="宋体"/>
          <w:b/>
          <w:bCs/>
          <w:sz w:val="28"/>
          <w:szCs w:val="28"/>
        </w:rPr>
        <w:t>四、报价文件的组成</w:t>
      </w:r>
    </w:p>
    <w:p w14:paraId="1A4DF072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报价文件由营业执照有效复印件、报价方案等组成。</w:t>
      </w:r>
    </w:p>
    <w:p w14:paraId="16EE4114">
      <w:pPr>
        <w:spacing w:line="360" w:lineRule="auto"/>
        <w:ind w:firstLine="562" w:firstLineChars="200"/>
        <w:rPr>
          <w:rFonts w:ascii="黑体" w:hAnsi="黑体" w:eastAsia="黑体" w:cs="宋体"/>
          <w:b/>
          <w:bCs/>
          <w:sz w:val="28"/>
          <w:szCs w:val="28"/>
        </w:rPr>
      </w:pPr>
      <w:r>
        <w:rPr>
          <w:rFonts w:hint="eastAsia" w:ascii="黑体" w:hAnsi="黑体" w:eastAsia="黑体" w:cs="宋体"/>
          <w:b/>
          <w:bCs/>
          <w:sz w:val="28"/>
          <w:szCs w:val="28"/>
        </w:rPr>
        <w:t>五、报价文件的递交</w:t>
      </w:r>
    </w:p>
    <w:p w14:paraId="2F7505B2">
      <w:pPr>
        <w:spacing w:line="360" w:lineRule="auto"/>
        <w:ind w:firstLine="560" w:firstLineChars="200"/>
        <w:jc w:val="left"/>
        <w:rPr>
          <w:rFonts w:ascii="仿宋_GB2312" w:hAnsi="仿宋" w:eastAsia="仿宋_GB2312" w:cs="宋体"/>
          <w:sz w:val="28"/>
          <w:szCs w:val="28"/>
        </w:rPr>
      </w:pPr>
      <w:r>
        <w:rPr>
          <w:rFonts w:hint="eastAsia" w:ascii="仿宋_GB2312" w:hAnsi="仿宋" w:eastAsia="仿宋_GB2312" w:cs="宋体"/>
          <w:sz w:val="28"/>
          <w:szCs w:val="28"/>
        </w:rPr>
        <w:t>1</w:t>
      </w:r>
      <w:r>
        <w:rPr>
          <w:rFonts w:ascii="仿宋_GB2312" w:hAnsi="仿宋" w:eastAsia="仿宋_GB2312" w:cs="宋体"/>
          <w:sz w:val="28"/>
          <w:szCs w:val="28"/>
        </w:rPr>
        <w:t>.</w:t>
      </w:r>
      <w:r>
        <w:rPr>
          <w:rFonts w:hint="eastAsia" w:ascii="仿宋_GB2312" w:hAnsi="仿宋" w:eastAsia="仿宋_GB2312" w:cs="宋体"/>
          <w:sz w:val="28"/>
          <w:szCs w:val="28"/>
        </w:rPr>
        <w:t>报价文件递交的截止时间：</w:t>
      </w: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>2024</w:t>
      </w:r>
      <w:r>
        <w:rPr>
          <w:rFonts w:hint="eastAsia" w:ascii="仿宋_GB2312" w:hAnsi="仿宋" w:eastAsia="仿宋_GB2312" w:cs="宋体"/>
          <w:sz w:val="28"/>
          <w:szCs w:val="28"/>
        </w:rPr>
        <w:t>年</w:t>
      </w: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>10</w:t>
      </w:r>
      <w:r>
        <w:rPr>
          <w:rFonts w:hint="eastAsia" w:ascii="仿宋_GB2312" w:hAnsi="仿宋" w:eastAsia="仿宋_GB2312" w:cs="宋体"/>
          <w:sz w:val="28"/>
          <w:szCs w:val="28"/>
        </w:rPr>
        <w:t>月</w:t>
      </w: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>28</w:t>
      </w:r>
      <w:r>
        <w:rPr>
          <w:rFonts w:hint="eastAsia" w:ascii="仿宋_GB2312" w:hAnsi="仿宋" w:eastAsia="仿宋_GB2312" w:cs="宋体"/>
          <w:sz w:val="28"/>
          <w:szCs w:val="28"/>
        </w:rPr>
        <w:t xml:space="preserve"> 日</w:t>
      </w: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>17</w:t>
      </w:r>
      <w:r>
        <w:rPr>
          <w:rFonts w:hint="eastAsia" w:ascii="仿宋_GB2312" w:hAnsi="仿宋" w:eastAsia="仿宋_GB2312" w:cs="宋体"/>
          <w:sz w:val="28"/>
          <w:szCs w:val="28"/>
        </w:rPr>
        <w:t>:</w:t>
      </w: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>00</w:t>
      </w:r>
      <w:r>
        <w:rPr>
          <w:rFonts w:hint="eastAsia" w:ascii="仿宋_GB2312" w:hAnsi="仿宋" w:eastAsia="仿宋_GB2312" w:cs="宋体"/>
          <w:sz w:val="28"/>
          <w:szCs w:val="28"/>
        </w:rPr>
        <w:t>。</w:t>
      </w:r>
    </w:p>
    <w:p w14:paraId="494E953A">
      <w:pPr>
        <w:spacing w:line="360" w:lineRule="auto"/>
        <w:ind w:firstLine="560" w:firstLineChars="200"/>
        <w:jc w:val="left"/>
        <w:rPr>
          <w:rFonts w:ascii="仿宋_GB2312" w:hAnsi="仿宋" w:eastAsia="仿宋_GB2312" w:cs="宋体"/>
          <w:sz w:val="28"/>
          <w:szCs w:val="28"/>
        </w:rPr>
      </w:pPr>
      <w:r>
        <w:rPr>
          <w:rFonts w:hint="eastAsia" w:ascii="仿宋_GB2312" w:hAnsi="仿宋" w:eastAsia="仿宋_GB2312" w:cs="宋体"/>
          <w:sz w:val="28"/>
          <w:szCs w:val="28"/>
        </w:rPr>
        <w:t>2</w:t>
      </w:r>
      <w:r>
        <w:rPr>
          <w:rFonts w:ascii="仿宋_GB2312" w:hAnsi="仿宋" w:eastAsia="仿宋_GB2312" w:cs="宋体"/>
          <w:sz w:val="28"/>
          <w:szCs w:val="28"/>
        </w:rPr>
        <w:t>.</w:t>
      </w:r>
      <w:r>
        <w:rPr>
          <w:rFonts w:hint="eastAsia" w:ascii="仿宋_GB2312" w:hAnsi="仿宋" w:eastAsia="仿宋_GB2312" w:cs="宋体"/>
          <w:sz w:val="28"/>
          <w:szCs w:val="28"/>
        </w:rPr>
        <w:t>报价文件递交地点：四川省成都市郫都区犀安路999号西南交通大学犀浦校区综合楼</w:t>
      </w: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>105</w:t>
      </w:r>
      <w:r>
        <w:rPr>
          <w:rFonts w:hint="eastAsia" w:ascii="仿宋_GB2312" w:hAnsi="仿宋" w:eastAsia="仿宋_GB2312" w:cs="宋体"/>
          <w:sz w:val="28"/>
          <w:szCs w:val="28"/>
        </w:rPr>
        <w:t>办公室。</w:t>
      </w:r>
    </w:p>
    <w:p w14:paraId="025BA3A3">
      <w:pPr>
        <w:spacing w:line="360" w:lineRule="auto"/>
        <w:ind w:firstLine="560" w:firstLineChars="200"/>
        <w:jc w:val="left"/>
        <w:rPr>
          <w:rFonts w:ascii="仿宋_GB2312" w:hAnsi="仿宋" w:eastAsia="仿宋_GB2312" w:cs="宋体"/>
          <w:sz w:val="28"/>
          <w:szCs w:val="28"/>
        </w:rPr>
      </w:pPr>
      <w:r>
        <w:rPr>
          <w:rFonts w:hint="eastAsia" w:ascii="仿宋_GB2312" w:hAnsi="仿宋" w:eastAsia="仿宋_GB2312" w:cs="宋体"/>
          <w:sz w:val="28"/>
          <w:szCs w:val="28"/>
        </w:rPr>
        <w:t>3</w:t>
      </w:r>
      <w:r>
        <w:rPr>
          <w:rFonts w:ascii="仿宋_GB2312" w:hAnsi="仿宋" w:eastAsia="仿宋_GB2312" w:cs="宋体"/>
          <w:sz w:val="28"/>
          <w:szCs w:val="28"/>
        </w:rPr>
        <w:t>.</w:t>
      </w:r>
      <w:r>
        <w:rPr>
          <w:rFonts w:hint="eastAsia" w:ascii="仿宋_GB2312" w:hAnsi="仿宋" w:eastAsia="仿宋_GB2312" w:cs="宋体"/>
          <w:sz w:val="28"/>
          <w:szCs w:val="28"/>
        </w:rPr>
        <w:t>逾期送达的或者未送达指定地点的报价文件，采购人不予受理，本次采购不接受邮寄的报价文件。</w:t>
      </w:r>
    </w:p>
    <w:p w14:paraId="36FC4749">
      <w:pPr>
        <w:spacing w:line="360" w:lineRule="auto"/>
        <w:ind w:firstLine="562" w:firstLineChars="200"/>
        <w:rPr>
          <w:rFonts w:ascii="黑体" w:hAnsi="黑体" w:eastAsia="黑体" w:cs="宋体"/>
          <w:b/>
          <w:bCs/>
          <w:sz w:val="28"/>
          <w:szCs w:val="28"/>
        </w:rPr>
      </w:pPr>
      <w:r>
        <w:rPr>
          <w:rFonts w:hint="eastAsia" w:ascii="黑体" w:hAnsi="黑体" w:eastAsia="黑体" w:cs="宋体"/>
          <w:b/>
          <w:bCs/>
          <w:sz w:val="28"/>
          <w:szCs w:val="28"/>
        </w:rPr>
        <w:t>六、成交供应商的确定</w:t>
      </w:r>
    </w:p>
    <w:p w14:paraId="51E84962">
      <w:pPr>
        <w:tabs>
          <w:tab w:val="left" w:pos="2310"/>
        </w:tabs>
        <w:spacing w:line="360" w:lineRule="auto"/>
        <w:ind w:right="420" w:rightChars="200" w:firstLine="562" w:firstLineChars="200"/>
        <w:rPr>
          <w:rFonts w:ascii="仿宋_GB2312" w:hAnsi="仿宋" w:eastAsia="仿宋_GB2312" w:cs="宋体"/>
          <w:b/>
          <w:sz w:val="28"/>
          <w:szCs w:val="28"/>
        </w:rPr>
      </w:pPr>
      <w:r>
        <w:rPr>
          <w:rFonts w:hint="eastAsia" w:ascii="仿宋_GB2312" w:hAnsi="仿宋" w:eastAsia="仿宋_GB2312" w:cs="宋体"/>
          <w:b/>
          <w:sz w:val="28"/>
          <w:szCs w:val="28"/>
        </w:rPr>
        <w:t>根据《西南交通大学采购管理办法》（西交校计财〔2024 〕11 号）的相关规定，按满足实质性要求且报价最低的原则选择成交供应商。</w:t>
      </w:r>
    </w:p>
    <w:p w14:paraId="6EC3682D">
      <w:pPr>
        <w:tabs>
          <w:tab w:val="left" w:pos="2310"/>
        </w:tabs>
        <w:spacing w:line="360" w:lineRule="auto"/>
        <w:ind w:right="420" w:rightChars="200" w:firstLine="560" w:firstLineChars="200"/>
        <w:rPr>
          <w:rFonts w:ascii="仿宋_GB2312" w:hAnsi="仿宋" w:eastAsia="仿宋_GB2312" w:cs="宋体"/>
          <w:sz w:val="28"/>
          <w:szCs w:val="28"/>
        </w:rPr>
      </w:pPr>
      <w:r>
        <w:rPr>
          <w:rFonts w:hint="eastAsia" w:ascii="仿宋_GB2312" w:hAnsi="仿宋" w:eastAsia="仿宋_GB2312" w:cs="宋体"/>
          <w:sz w:val="28"/>
          <w:szCs w:val="28"/>
        </w:rPr>
        <w:t>本次比价结果公告在西南交通大学技术转移研究院官网上</w:t>
      </w:r>
      <w:r>
        <w:fldChar w:fldCharType="begin"/>
      </w:r>
      <w:r>
        <w:instrText xml:space="preserve"> HYPERLINK "https://ott.swjtu.edu.cn/" </w:instrText>
      </w:r>
      <w:r>
        <w:fldChar w:fldCharType="separate"/>
      </w:r>
      <w:r>
        <w:rPr>
          <w:rStyle w:val="7"/>
          <w:rFonts w:hint="eastAsia" w:ascii="仿宋_GB2312" w:hAnsi="仿宋" w:eastAsia="仿宋_GB2312" w:cs="宋体"/>
          <w:sz w:val="28"/>
          <w:szCs w:val="28"/>
        </w:rPr>
        <w:t>https://ott.swjtu.edu.cn/</w:t>
      </w:r>
      <w:r>
        <w:rPr>
          <w:rStyle w:val="7"/>
          <w:rFonts w:hint="eastAsia" w:ascii="仿宋_GB2312" w:hAnsi="仿宋" w:eastAsia="仿宋_GB2312" w:cs="宋体"/>
          <w:sz w:val="28"/>
          <w:szCs w:val="28"/>
        </w:rPr>
        <w:fldChar w:fldCharType="end"/>
      </w:r>
      <w:r>
        <w:rPr>
          <w:rFonts w:hint="eastAsia" w:ascii="仿宋_GB2312" w:hAnsi="仿宋" w:eastAsia="仿宋_GB2312" w:cs="宋体"/>
          <w:sz w:val="28"/>
          <w:szCs w:val="28"/>
        </w:rPr>
        <w:t>及西南交通大学招投标信息网</w:t>
      </w:r>
      <w:r>
        <w:fldChar w:fldCharType="begin"/>
      </w:r>
      <w:r>
        <w:instrText xml:space="preserve"> HYPERLINK "https://bidding.swjtu.edu.cn/" </w:instrText>
      </w:r>
      <w:r>
        <w:fldChar w:fldCharType="separate"/>
      </w:r>
      <w:r>
        <w:rPr>
          <w:rStyle w:val="7"/>
          <w:rFonts w:hint="eastAsia" w:ascii="仿宋_GB2312" w:hAnsi="仿宋" w:eastAsia="仿宋_GB2312" w:cs="宋体"/>
          <w:sz w:val="28"/>
          <w:szCs w:val="28"/>
        </w:rPr>
        <w:t>https://bidding.swjtu.edu.cn/</w:t>
      </w:r>
      <w:r>
        <w:rPr>
          <w:rStyle w:val="7"/>
          <w:rFonts w:hint="eastAsia" w:ascii="仿宋_GB2312" w:hAnsi="仿宋" w:eastAsia="仿宋_GB2312" w:cs="宋体"/>
          <w:sz w:val="28"/>
          <w:szCs w:val="28"/>
        </w:rPr>
        <w:fldChar w:fldCharType="end"/>
      </w:r>
      <w:r>
        <w:rPr>
          <w:rFonts w:hint="eastAsia" w:ascii="仿宋_GB2312" w:hAnsi="仿宋" w:eastAsia="仿宋_GB2312" w:cs="宋体"/>
          <w:sz w:val="28"/>
          <w:szCs w:val="28"/>
        </w:rPr>
        <w:t>发布。</w:t>
      </w:r>
    </w:p>
    <w:p w14:paraId="5BBA7D98">
      <w:pPr>
        <w:spacing w:line="360" w:lineRule="auto"/>
        <w:ind w:firstLine="562" w:firstLineChars="200"/>
        <w:rPr>
          <w:rFonts w:ascii="黑体" w:hAnsi="黑体" w:eastAsia="黑体" w:cs="宋体"/>
          <w:b/>
          <w:bCs/>
          <w:sz w:val="28"/>
          <w:szCs w:val="28"/>
        </w:rPr>
      </w:pPr>
      <w:r>
        <w:rPr>
          <w:rFonts w:hint="eastAsia" w:ascii="黑体" w:hAnsi="黑体" w:eastAsia="黑体" w:cs="宋体"/>
          <w:b/>
          <w:bCs/>
          <w:sz w:val="28"/>
          <w:szCs w:val="28"/>
        </w:rPr>
        <w:t>七、联系方式</w:t>
      </w:r>
    </w:p>
    <w:p w14:paraId="7DC37BC0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采购人：西南交通大学技术转移研究院</w:t>
      </w:r>
    </w:p>
    <w:p w14:paraId="778C5793">
      <w:pPr>
        <w:spacing w:line="360" w:lineRule="auto"/>
        <w:ind w:firstLine="560" w:firstLineChars="200"/>
        <w:rPr>
          <w:rFonts w:hint="default" w:ascii="仿宋_GB2312" w:hAnsi="仿宋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/>
          <w:sz w:val="28"/>
          <w:szCs w:val="28"/>
        </w:rPr>
        <w:t>地址：四川省成都市郫都区犀安路999号西南交通大学犀浦校区综合楼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105</w:t>
      </w:r>
    </w:p>
    <w:p w14:paraId="0284402E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邮编：611756</w:t>
      </w:r>
    </w:p>
    <w:p w14:paraId="0242967A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联系人：夏老师</w:t>
      </w:r>
    </w:p>
    <w:p w14:paraId="1F143609">
      <w:pPr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 xml:space="preserve">电话：028-66366275 </w:t>
      </w:r>
    </w:p>
    <w:p w14:paraId="785F0D84">
      <w:pPr>
        <w:wordWrap w:val="0"/>
        <w:jc w:val="right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>2024</w:t>
      </w:r>
      <w:r>
        <w:rPr>
          <w:rFonts w:hint="eastAsia" w:ascii="仿宋_GB2312" w:hAnsi="仿宋" w:eastAsia="仿宋_GB2312" w:cs="仿宋_GB2312"/>
          <w:sz w:val="28"/>
          <w:szCs w:val="28"/>
        </w:rPr>
        <w:t>年</w:t>
      </w:r>
      <w:r>
        <w:rPr>
          <w:rFonts w:hint="eastAsia" w:ascii="仿宋_GB2312" w:hAnsi="仿宋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" w:eastAsia="仿宋_GB2312" w:cs="宋体"/>
          <w:sz w:val="28"/>
          <w:szCs w:val="28"/>
        </w:rPr>
        <w:t>月</w:t>
      </w: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>22</w:t>
      </w:r>
      <w:r>
        <w:rPr>
          <w:rFonts w:hint="eastAsia" w:ascii="仿宋_GB2312" w:hAnsi="仿宋" w:eastAsia="仿宋_GB2312" w:cs="宋体"/>
          <w:sz w:val="28"/>
          <w:szCs w:val="28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930A3">
    <w:pPr>
      <w:pStyle w:val="2"/>
      <w:ind w:left="450" w:hanging="45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120B8802">
    <w:pPr>
      <w:pStyle w:val="2"/>
      <w:ind w:left="450" w:hanging="450"/>
      <w:jc w:val="center"/>
    </w:pPr>
  </w:p>
  <w:p w14:paraId="4A94C56B">
    <w:pPr>
      <w:ind w:left="525" w:hanging="525"/>
    </w:pPr>
  </w:p>
  <w:p w14:paraId="61427A2E">
    <w:pPr>
      <w:ind w:left="525" w:hanging="525"/>
    </w:pPr>
  </w:p>
  <w:p w14:paraId="7E407EFC">
    <w:pPr>
      <w:ind w:left="525" w:hanging="52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8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hOTU0NGI5NWVmYzhlZWY2MDQ4YTk4ZjVjYmJlODcifQ=="/>
  </w:docVars>
  <w:rsids>
    <w:rsidRoot w:val="61930092"/>
    <w:rsid w:val="0010461B"/>
    <w:rsid w:val="00121AE4"/>
    <w:rsid w:val="002642D9"/>
    <w:rsid w:val="0027249A"/>
    <w:rsid w:val="00315B6B"/>
    <w:rsid w:val="003516C2"/>
    <w:rsid w:val="003B2BD9"/>
    <w:rsid w:val="00403237"/>
    <w:rsid w:val="0044255C"/>
    <w:rsid w:val="004860FB"/>
    <w:rsid w:val="005B0971"/>
    <w:rsid w:val="005B7FFE"/>
    <w:rsid w:val="005E5CC7"/>
    <w:rsid w:val="00614AB9"/>
    <w:rsid w:val="00662B9F"/>
    <w:rsid w:val="006F3207"/>
    <w:rsid w:val="0072120D"/>
    <w:rsid w:val="00751DA6"/>
    <w:rsid w:val="007A2BCE"/>
    <w:rsid w:val="008108D4"/>
    <w:rsid w:val="0091545D"/>
    <w:rsid w:val="009818A8"/>
    <w:rsid w:val="009C131E"/>
    <w:rsid w:val="00AC2861"/>
    <w:rsid w:val="00B01BFD"/>
    <w:rsid w:val="00B15F74"/>
    <w:rsid w:val="00B701BC"/>
    <w:rsid w:val="00B97D3C"/>
    <w:rsid w:val="00BA0ED9"/>
    <w:rsid w:val="00DB01E7"/>
    <w:rsid w:val="00DD7F78"/>
    <w:rsid w:val="00E67584"/>
    <w:rsid w:val="00EB7FB8"/>
    <w:rsid w:val="1A4E6234"/>
    <w:rsid w:val="27F7296B"/>
    <w:rsid w:val="28A605BD"/>
    <w:rsid w:val="572F7893"/>
    <w:rsid w:val="61930092"/>
    <w:rsid w:val="6917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标题 5（有编号）（绿盟科技）"/>
    <w:basedOn w:val="1"/>
    <w:next w:val="9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9">
    <w:name w:val="正文（绿盟科技）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10">
    <w:name w:val="样式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table" w:customStyle="1" w:styleId="11">
    <w:name w:val="网格型1"/>
    <w:basedOn w:val="4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1136</Words>
  <Characters>1327</Characters>
  <Lines>10</Lines>
  <Paragraphs>2</Paragraphs>
  <TotalTime>167</TotalTime>
  <ScaleCrop>false</ScaleCrop>
  <LinksUpToDate>false</LinksUpToDate>
  <CharactersWithSpaces>1336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2024-04-30T06:39:00Z</dcterms:created>
  <dc:creator>王33</dc:creator>
  <cp:lastModifiedBy>Vicky</cp:lastModifiedBy>
  <dcterms:modified xsi:type="dcterms:W3CDTF">2024-10-22T01:18:13Z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20CA2AD9A570488987F583D30D3F3BBD_13</vt:lpwstr>
  </property>
</Properties>
</file>