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01782470"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1E742F54"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6A4865C1" w14:textId="4C1AB8FC" w:rsidR="000F33B2" w:rsidRPr="0004344F" w:rsidRDefault="0004344F" w:rsidP="000F33B2">
            <w:pPr>
              <w:widowControl/>
              <w:jc w:val="left"/>
              <w:rPr>
                <w:rFonts w:ascii="宋体" w:eastAsia="宋体" w:hAnsi="宋体" w:cs="宋体" w:hint="eastAsia"/>
                <w:b/>
                <w:color w:val="000000"/>
                <w:kern w:val="0"/>
                <w:sz w:val="24"/>
                <w:szCs w:val="24"/>
              </w:rPr>
            </w:pPr>
            <w:r w:rsidRPr="0004344F">
              <w:rPr>
                <w:rFonts w:ascii="宋体" w:eastAsia="宋体" w:hAnsi="宋体" w:cs="宋体" w:hint="eastAsia"/>
                <w:b/>
                <w:color w:val="000000"/>
                <w:kern w:val="0"/>
                <w:sz w:val="24"/>
                <w:szCs w:val="24"/>
              </w:rPr>
              <w:t>高丽君</w:t>
            </w:r>
          </w:p>
        </w:tc>
        <w:tc>
          <w:tcPr>
            <w:tcW w:w="1834" w:type="dxa"/>
            <w:tcBorders>
              <w:top w:val="single" w:sz="4" w:space="0" w:color="auto"/>
              <w:left w:val="nil"/>
              <w:bottom w:val="single" w:sz="4" w:space="0" w:color="auto"/>
              <w:right w:val="single" w:sz="4" w:space="0" w:color="auto"/>
            </w:tcBorders>
            <w:noWrap/>
            <w:vAlign w:val="center"/>
            <w:hideMark/>
          </w:tcPr>
          <w:p w14:paraId="76749ED0"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72FD7B82" w14:textId="41F4A743" w:rsidR="000F33B2" w:rsidRPr="0004344F" w:rsidRDefault="0004344F" w:rsidP="000F33B2">
            <w:pPr>
              <w:widowControl/>
              <w:jc w:val="left"/>
              <w:rPr>
                <w:rFonts w:ascii="宋体" w:eastAsia="宋体" w:hAnsi="宋体" w:cs="宋体" w:hint="eastAsia"/>
                <w:b/>
                <w:bCs/>
                <w:color w:val="000000"/>
                <w:kern w:val="0"/>
                <w:sz w:val="24"/>
                <w:szCs w:val="24"/>
              </w:rPr>
            </w:pPr>
            <w:r w:rsidRPr="0004344F">
              <w:rPr>
                <w:rFonts w:ascii="宋体" w:eastAsia="宋体" w:hAnsi="宋体" w:cs="宋体" w:hint="eastAsia"/>
                <w:b/>
                <w:bCs/>
                <w:color w:val="000000"/>
                <w:kern w:val="0"/>
                <w:sz w:val="24"/>
                <w:szCs w:val="24"/>
              </w:rPr>
              <w:t>李军</w:t>
            </w:r>
          </w:p>
        </w:tc>
      </w:tr>
      <w:tr w:rsidR="000F33B2" w:rsidRPr="003F7766" w14:paraId="7A8FA6DA"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791A9A0D"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0C94DBDD" w14:textId="69C9C720" w:rsidR="000F33B2" w:rsidRPr="0004344F" w:rsidRDefault="0004344F" w:rsidP="000F33B2">
            <w:pPr>
              <w:widowControl/>
              <w:jc w:val="left"/>
              <w:rPr>
                <w:rFonts w:ascii="宋体" w:eastAsia="宋体" w:hAnsi="宋体" w:cs="宋体" w:hint="eastAsia"/>
                <w:b/>
                <w:color w:val="000000"/>
                <w:kern w:val="0"/>
                <w:sz w:val="24"/>
                <w:szCs w:val="24"/>
              </w:rPr>
            </w:pPr>
            <w:r w:rsidRPr="0004344F">
              <w:rPr>
                <w:rFonts w:ascii="宋体" w:eastAsia="宋体" w:hAnsi="宋体" w:cs="宋体" w:hint="eastAsia"/>
                <w:b/>
                <w:color w:val="000000"/>
                <w:kern w:val="0"/>
                <w:sz w:val="24"/>
                <w:szCs w:val="24"/>
              </w:rPr>
              <w:t>管理科学与工程</w:t>
            </w:r>
          </w:p>
        </w:tc>
        <w:tc>
          <w:tcPr>
            <w:tcW w:w="1834" w:type="dxa"/>
            <w:tcBorders>
              <w:top w:val="nil"/>
              <w:left w:val="nil"/>
              <w:bottom w:val="single" w:sz="4" w:space="0" w:color="auto"/>
              <w:right w:val="single" w:sz="4" w:space="0" w:color="auto"/>
            </w:tcBorders>
            <w:noWrap/>
            <w:vAlign w:val="center"/>
            <w:hideMark/>
          </w:tcPr>
          <w:p w14:paraId="45C364F5"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7404E344" w14:textId="32545BA1" w:rsidR="000F33B2" w:rsidRPr="0004344F" w:rsidRDefault="0004344F" w:rsidP="000F33B2">
            <w:pPr>
              <w:widowControl/>
              <w:jc w:val="left"/>
              <w:rPr>
                <w:rFonts w:ascii="宋体" w:eastAsia="宋体" w:hAnsi="宋体" w:cs="宋体" w:hint="eastAsia"/>
                <w:b/>
                <w:bCs/>
                <w:color w:val="000000"/>
                <w:kern w:val="0"/>
                <w:sz w:val="24"/>
                <w:szCs w:val="24"/>
              </w:rPr>
            </w:pPr>
            <w:r w:rsidRPr="0004344F">
              <w:rPr>
                <w:rFonts w:ascii="宋体" w:eastAsia="宋体" w:hAnsi="宋体" w:cs="宋体" w:hint="eastAsia"/>
                <w:b/>
                <w:bCs/>
                <w:color w:val="000000"/>
                <w:kern w:val="0"/>
                <w:sz w:val="24"/>
                <w:szCs w:val="24"/>
              </w:rPr>
              <w:t>服务运作管理</w:t>
            </w:r>
          </w:p>
        </w:tc>
      </w:tr>
      <w:tr w:rsidR="000F33B2" w:rsidRPr="003F7766" w14:paraId="7A7DAA20"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740102D6"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65D6BF81" w14:textId="326EE5F6" w:rsidR="000F33B2" w:rsidRPr="0004344F" w:rsidRDefault="0004344F" w:rsidP="000F33B2">
            <w:pPr>
              <w:widowControl/>
              <w:jc w:val="left"/>
              <w:rPr>
                <w:rFonts w:ascii="宋体" w:eastAsia="宋体" w:hAnsi="宋体" w:cs="宋体" w:hint="eastAsia"/>
                <w:b/>
                <w:bCs/>
                <w:color w:val="000000"/>
                <w:kern w:val="0"/>
                <w:sz w:val="24"/>
                <w:szCs w:val="24"/>
              </w:rPr>
            </w:pPr>
            <w:r w:rsidRPr="0004344F">
              <w:rPr>
                <w:rFonts w:ascii="宋体" w:eastAsia="宋体" w:hAnsi="宋体" w:cs="宋体" w:hint="eastAsia"/>
                <w:b/>
                <w:bCs/>
                <w:color w:val="000000"/>
                <w:kern w:val="0"/>
                <w:sz w:val="24"/>
                <w:szCs w:val="24"/>
              </w:rPr>
              <w:t>紧密型医联体</w:t>
            </w:r>
            <w:r w:rsidR="006D41A3">
              <w:rPr>
                <w:rFonts w:ascii="宋体" w:eastAsia="宋体" w:hAnsi="宋体" w:cs="宋体" w:hint="eastAsia"/>
                <w:b/>
                <w:bCs/>
                <w:color w:val="000000"/>
                <w:kern w:val="0"/>
                <w:sz w:val="24"/>
                <w:szCs w:val="24"/>
              </w:rPr>
              <w:t>的</w:t>
            </w:r>
            <w:r w:rsidRPr="0004344F">
              <w:rPr>
                <w:rFonts w:ascii="宋体" w:eastAsia="宋体" w:hAnsi="宋体" w:cs="宋体" w:hint="eastAsia"/>
                <w:b/>
                <w:bCs/>
                <w:color w:val="000000"/>
                <w:kern w:val="0"/>
                <w:sz w:val="24"/>
                <w:szCs w:val="24"/>
              </w:rPr>
              <w:t>转诊决策与分配</w:t>
            </w:r>
            <w:r w:rsidR="006D41A3">
              <w:rPr>
                <w:rFonts w:ascii="宋体" w:eastAsia="宋体" w:hAnsi="宋体" w:cs="宋体" w:hint="eastAsia"/>
                <w:b/>
                <w:bCs/>
                <w:color w:val="000000"/>
                <w:kern w:val="0"/>
                <w:sz w:val="24"/>
                <w:szCs w:val="24"/>
              </w:rPr>
              <w:t>机制</w:t>
            </w:r>
            <w:r w:rsidRPr="0004344F">
              <w:rPr>
                <w:rFonts w:ascii="宋体" w:eastAsia="宋体" w:hAnsi="宋体" w:cs="宋体" w:hint="eastAsia"/>
                <w:b/>
                <w:bCs/>
                <w:color w:val="000000"/>
                <w:kern w:val="0"/>
                <w:sz w:val="24"/>
                <w:szCs w:val="24"/>
              </w:rPr>
              <w:t>研究</w:t>
            </w:r>
          </w:p>
        </w:tc>
      </w:tr>
      <w:tr w:rsidR="000F33B2" w:rsidRPr="003F7766" w14:paraId="5DF4AF8E"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1F48DE7"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7AD6AEC4"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2385D833" w14:textId="6B8FCEBD" w:rsidR="009C43FA" w:rsidRPr="00BC577B" w:rsidRDefault="009C43FA" w:rsidP="003B0D17">
            <w:pPr>
              <w:widowControl/>
              <w:ind w:firstLineChars="200" w:firstLine="480"/>
              <w:rPr>
                <w:rFonts w:ascii="Times New Roman" w:eastAsia="宋体" w:hAnsi="Times New Roman" w:cs="Times New Roman"/>
                <w:color w:val="000000"/>
                <w:kern w:val="0"/>
                <w:sz w:val="24"/>
                <w:szCs w:val="24"/>
              </w:rPr>
            </w:pPr>
            <w:r w:rsidRPr="00BC577B">
              <w:rPr>
                <w:rFonts w:ascii="Times New Roman" w:eastAsia="宋体" w:hAnsi="Times New Roman" w:cs="Times New Roman"/>
                <w:color w:val="000000"/>
                <w:kern w:val="0"/>
                <w:sz w:val="24"/>
                <w:szCs w:val="24"/>
              </w:rPr>
              <w:t>在深化医改和分级诊疗体系构建背景下，紧密型医联体作为整合型医疗服务体系的关键组织形式，承担着优化资源配置与提升服务效率的重要职能。然而，由于成员医院在服务能力、利益结构与激励机制等方面存在显著差异，医联体在实际运行中普遍存在协同效率低、合作关系不稳固的问题，亟需建立稳定、公平且具激励性的合作机制。基于此，本文综合考虑</w:t>
            </w:r>
            <w:r w:rsidR="003B0D17" w:rsidRPr="00BC577B">
              <w:rPr>
                <w:rFonts w:ascii="Times New Roman" w:eastAsia="宋体" w:hAnsi="Times New Roman" w:cs="Times New Roman"/>
                <w:color w:val="000000"/>
                <w:kern w:val="0"/>
                <w:sz w:val="24"/>
                <w:szCs w:val="24"/>
              </w:rPr>
              <w:t>医联体的市场环境、内部结构特性、患者特征等要素</w:t>
            </w:r>
            <w:r w:rsidRPr="00BC577B">
              <w:rPr>
                <w:rFonts w:ascii="Times New Roman" w:eastAsia="宋体" w:hAnsi="Times New Roman" w:cs="Times New Roman"/>
                <w:color w:val="000000"/>
                <w:kern w:val="0"/>
                <w:sz w:val="24"/>
                <w:szCs w:val="24"/>
              </w:rPr>
              <w:t>，系统性地构建并分析了其在不同</w:t>
            </w:r>
            <w:r w:rsidR="003B0D17" w:rsidRPr="00BC577B">
              <w:rPr>
                <w:rFonts w:ascii="Times New Roman" w:eastAsia="宋体" w:hAnsi="Times New Roman" w:cs="Times New Roman"/>
                <w:color w:val="000000"/>
                <w:kern w:val="0"/>
                <w:sz w:val="24"/>
                <w:szCs w:val="24"/>
              </w:rPr>
              <w:t>合作情境下</w:t>
            </w:r>
            <w:r w:rsidRPr="00BC577B">
              <w:rPr>
                <w:rFonts w:ascii="Times New Roman" w:eastAsia="宋体" w:hAnsi="Times New Roman" w:cs="Times New Roman"/>
                <w:color w:val="000000"/>
                <w:kern w:val="0"/>
                <w:sz w:val="24"/>
                <w:szCs w:val="24"/>
              </w:rPr>
              <w:t>的合作转诊</w:t>
            </w:r>
            <w:r w:rsidR="003B0D17" w:rsidRPr="00BC577B">
              <w:rPr>
                <w:rFonts w:ascii="Times New Roman" w:eastAsia="宋体" w:hAnsi="Times New Roman" w:cs="Times New Roman"/>
                <w:color w:val="000000"/>
                <w:kern w:val="0"/>
                <w:sz w:val="24"/>
                <w:szCs w:val="24"/>
              </w:rPr>
              <w:t>决策</w:t>
            </w:r>
            <w:r w:rsidRPr="00BC577B">
              <w:rPr>
                <w:rFonts w:ascii="Times New Roman" w:eastAsia="宋体" w:hAnsi="Times New Roman" w:cs="Times New Roman"/>
                <w:color w:val="000000"/>
                <w:kern w:val="0"/>
                <w:sz w:val="24"/>
                <w:szCs w:val="24"/>
              </w:rPr>
              <w:t>与</w:t>
            </w:r>
            <w:r w:rsidR="003B0D17" w:rsidRPr="00BC577B">
              <w:rPr>
                <w:rFonts w:ascii="Times New Roman" w:eastAsia="宋体" w:hAnsi="Times New Roman" w:cs="Times New Roman"/>
                <w:color w:val="000000"/>
                <w:kern w:val="0"/>
                <w:sz w:val="24"/>
                <w:szCs w:val="24"/>
              </w:rPr>
              <w:t>分配</w:t>
            </w:r>
            <w:r w:rsidRPr="00BC577B">
              <w:rPr>
                <w:rFonts w:ascii="Times New Roman" w:eastAsia="宋体" w:hAnsi="Times New Roman" w:cs="Times New Roman"/>
                <w:color w:val="000000"/>
                <w:kern w:val="0"/>
                <w:sz w:val="24"/>
                <w:szCs w:val="24"/>
              </w:rPr>
              <w:t>机制。</w:t>
            </w:r>
          </w:p>
          <w:p w14:paraId="575C7681" w14:textId="22205F78" w:rsidR="009C43FA" w:rsidRPr="00BC577B" w:rsidRDefault="009C43FA" w:rsidP="00BC577B">
            <w:pPr>
              <w:widowControl/>
              <w:ind w:firstLineChars="200" w:firstLine="480"/>
              <w:rPr>
                <w:rFonts w:ascii="Times New Roman" w:eastAsia="宋体" w:hAnsi="Times New Roman" w:cs="Times New Roman"/>
                <w:color w:val="000000"/>
                <w:kern w:val="0"/>
                <w:sz w:val="24"/>
                <w:szCs w:val="24"/>
              </w:rPr>
            </w:pPr>
            <w:r w:rsidRPr="00BC577B">
              <w:rPr>
                <w:rFonts w:ascii="Times New Roman" w:eastAsia="宋体" w:hAnsi="Times New Roman" w:cs="Times New Roman"/>
                <w:color w:val="000000"/>
                <w:kern w:val="0"/>
                <w:sz w:val="24"/>
                <w:szCs w:val="24"/>
              </w:rPr>
              <w:t>首先，</w:t>
            </w:r>
            <w:r w:rsidR="00BC577B" w:rsidRPr="00BC577B">
              <w:rPr>
                <w:rFonts w:ascii="Times New Roman" w:eastAsia="宋体" w:hAnsi="Times New Roman" w:cs="Times New Roman"/>
                <w:color w:val="000000"/>
                <w:kern w:val="0"/>
                <w:sz w:val="24"/>
                <w:szCs w:val="24"/>
              </w:rPr>
              <w:t>针对医联体中因成员目标差异所引发的合作激励矛盾与收益分配难题，构建了基于</w:t>
            </w:r>
            <w:r w:rsidR="00BC577B" w:rsidRPr="00BC577B">
              <w:rPr>
                <w:rFonts w:ascii="Times New Roman" w:eastAsia="宋体" w:hAnsi="Times New Roman" w:cs="Times New Roman"/>
                <w:color w:val="000000"/>
                <w:kern w:val="0"/>
                <w:sz w:val="24"/>
                <w:szCs w:val="24"/>
              </w:rPr>
              <w:t>M/M/1</w:t>
            </w:r>
            <w:r w:rsidR="00BC577B" w:rsidRPr="00BC577B">
              <w:rPr>
                <w:rFonts w:ascii="Times New Roman" w:eastAsia="宋体" w:hAnsi="Times New Roman" w:cs="Times New Roman"/>
                <w:color w:val="000000"/>
                <w:kern w:val="0"/>
                <w:sz w:val="24"/>
                <w:szCs w:val="24"/>
              </w:rPr>
              <w:t>排队与合作博弈理论的基准模型</w:t>
            </w:r>
            <w:r w:rsidRPr="00BC577B">
              <w:rPr>
                <w:rFonts w:ascii="Times New Roman" w:eastAsia="宋体" w:hAnsi="Times New Roman" w:cs="Times New Roman"/>
                <w:color w:val="000000"/>
                <w:kern w:val="0"/>
                <w:sz w:val="24"/>
                <w:szCs w:val="24"/>
              </w:rPr>
              <w:t>。</w:t>
            </w:r>
            <w:r w:rsidR="00BC577B" w:rsidRPr="00BC577B">
              <w:rPr>
                <w:rFonts w:ascii="Times New Roman" w:eastAsia="宋体" w:hAnsi="Times New Roman" w:cs="Times New Roman"/>
                <w:color w:val="000000"/>
                <w:kern w:val="0"/>
                <w:sz w:val="24"/>
                <w:szCs w:val="24"/>
              </w:rPr>
              <w:t>该模型以医联体期望收益最大化为目标，运用</w:t>
            </w:r>
            <w:r w:rsidR="00BC577B" w:rsidRPr="00BC577B">
              <w:rPr>
                <w:rFonts w:ascii="Times New Roman" w:eastAsia="宋体" w:hAnsi="Times New Roman" w:cs="Times New Roman"/>
                <w:color w:val="000000"/>
                <w:kern w:val="0"/>
                <w:sz w:val="24"/>
                <w:szCs w:val="24"/>
              </w:rPr>
              <w:t>Karush-Kuhn-Tucker</w:t>
            </w:r>
            <w:r w:rsidR="00BC577B" w:rsidRPr="00BC577B">
              <w:rPr>
                <w:rFonts w:ascii="Times New Roman" w:eastAsia="宋体" w:hAnsi="Times New Roman" w:cs="Times New Roman"/>
                <w:color w:val="000000"/>
                <w:kern w:val="0"/>
                <w:sz w:val="24"/>
                <w:szCs w:val="24"/>
              </w:rPr>
              <w:t>（</w:t>
            </w:r>
            <w:r w:rsidR="00BC577B" w:rsidRPr="00BC577B">
              <w:rPr>
                <w:rFonts w:ascii="Times New Roman" w:eastAsia="宋体" w:hAnsi="Times New Roman" w:cs="Times New Roman"/>
                <w:color w:val="000000"/>
                <w:kern w:val="0"/>
                <w:sz w:val="24"/>
                <w:szCs w:val="24"/>
              </w:rPr>
              <w:t>KKT</w:t>
            </w:r>
            <w:r w:rsidR="00BC577B" w:rsidRPr="00BC577B">
              <w:rPr>
                <w:rFonts w:ascii="Times New Roman" w:eastAsia="宋体" w:hAnsi="Times New Roman" w:cs="Times New Roman"/>
                <w:color w:val="000000"/>
                <w:kern w:val="0"/>
                <w:sz w:val="24"/>
                <w:szCs w:val="24"/>
              </w:rPr>
              <w:t>）条件推导出最优的患者转诊策略，设计了具备激励相容性与核心稳定性的收益分配机制。进一步引入</w:t>
            </w:r>
            <w:r w:rsidR="00BC577B" w:rsidRPr="00BC577B">
              <w:rPr>
                <w:rFonts w:ascii="Times New Roman" w:eastAsia="宋体" w:hAnsi="Times New Roman" w:cs="Times New Roman"/>
                <w:color w:val="000000"/>
                <w:kern w:val="0"/>
                <w:sz w:val="24"/>
                <w:szCs w:val="24"/>
              </w:rPr>
              <w:t>M/G/1</w:t>
            </w:r>
            <w:r w:rsidR="00BC577B" w:rsidRPr="00BC577B">
              <w:rPr>
                <w:rFonts w:ascii="Times New Roman" w:eastAsia="宋体" w:hAnsi="Times New Roman" w:cs="Times New Roman"/>
                <w:color w:val="000000"/>
                <w:kern w:val="0"/>
                <w:sz w:val="24"/>
                <w:szCs w:val="24"/>
              </w:rPr>
              <w:t>模型以刻画服务时间变异性，并探讨了支付制度改革下优化目标的转化方法</w:t>
            </w:r>
            <w:r w:rsidRPr="00BC577B">
              <w:rPr>
                <w:rFonts w:ascii="Times New Roman" w:eastAsia="宋体" w:hAnsi="Times New Roman" w:cs="Times New Roman"/>
                <w:color w:val="000000"/>
                <w:kern w:val="0"/>
                <w:sz w:val="24"/>
                <w:szCs w:val="24"/>
              </w:rPr>
              <w:t>。</w:t>
            </w:r>
            <w:r w:rsidR="00BC577B" w:rsidRPr="00BC577B">
              <w:rPr>
                <w:rFonts w:ascii="Times New Roman" w:eastAsia="宋体" w:hAnsi="Times New Roman" w:cs="Times New Roman"/>
                <w:color w:val="000000"/>
                <w:kern w:val="0"/>
                <w:sz w:val="24"/>
                <w:szCs w:val="24"/>
              </w:rPr>
              <w:t>数值仿真结果表明，医联体合作可显著提升收益水平，服务时间变异性对合作效益具有削弱效应，支付制度下优化目标的转化能有效引导患者向基层分流，提升医联体的运行效率。</w:t>
            </w:r>
          </w:p>
          <w:p w14:paraId="20801148" w14:textId="2C95A1E9" w:rsidR="009C43FA" w:rsidRPr="00BC577B" w:rsidRDefault="009C43FA" w:rsidP="00BC577B">
            <w:pPr>
              <w:widowControl/>
              <w:ind w:firstLineChars="200" w:firstLine="480"/>
              <w:rPr>
                <w:rFonts w:ascii="Times New Roman" w:eastAsia="宋体" w:hAnsi="Times New Roman" w:cs="Times New Roman"/>
                <w:color w:val="000000"/>
                <w:kern w:val="0"/>
                <w:sz w:val="24"/>
                <w:szCs w:val="24"/>
              </w:rPr>
            </w:pPr>
            <w:r w:rsidRPr="00BC577B">
              <w:rPr>
                <w:rFonts w:ascii="Times New Roman" w:eastAsia="宋体" w:hAnsi="Times New Roman" w:cs="Times New Roman"/>
                <w:color w:val="000000"/>
                <w:kern w:val="0"/>
                <w:sz w:val="24"/>
                <w:szCs w:val="24"/>
              </w:rPr>
              <w:t>其次，</w:t>
            </w:r>
            <w:r w:rsidR="00BC577B" w:rsidRPr="00BC577B">
              <w:rPr>
                <w:rFonts w:ascii="Times New Roman" w:eastAsia="宋体" w:hAnsi="Times New Roman" w:cs="Times New Roman"/>
                <w:color w:val="000000"/>
                <w:kern w:val="0"/>
                <w:sz w:val="24"/>
                <w:szCs w:val="24"/>
              </w:rPr>
              <w:t>在基准模型框架上引入外包市场，考虑系统延迟成本与外包成本，构建了以最小化总成本为目标的</w:t>
            </w:r>
            <w:r w:rsidR="00BC577B" w:rsidRPr="00BC577B">
              <w:rPr>
                <w:rFonts w:ascii="Times New Roman" w:eastAsia="宋体" w:hAnsi="Times New Roman" w:cs="Times New Roman"/>
                <w:color w:val="000000"/>
                <w:kern w:val="0"/>
                <w:sz w:val="24"/>
                <w:szCs w:val="24"/>
              </w:rPr>
              <w:t>M/G/1</w:t>
            </w:r>
            <w:r w:rsidR="00BC577B" w:rsidRPr="00BC577B">
              <w:rPr>
                <w:rFonts w:ascii="Times New Roman" w:eastAsia="宋体" w:hAnsi="Times New Roman" w:cs="Times New Roman"/>
                <w:color w:val="000000"/>
                <w:kern w:val="0"/>
                <w:sz w:val="24"/>
                <w:szCs w:val="24"/>
              </w:rPr>
              <w:t>排队合作优化模型，推导出存在外包市场时患者在医联体内部系统与外包市场之间的最优转诊策略。</w:t>
            </w:r>
            <w:r w:rsidR="00835D66" w:rsidRPr="00BC577B">
              <w:rPr>
                <w:rFonts w:ascii="Times New Roman" w:eastAsia="宋体" w:hAnsi="Times New Roman" w:cs="Times New Roman"/>
                <w:color w:val="000000"/>
                <w:kern w:val="0"/>
                <w:sz w:val="24"/>
                <w:szCs w:val="24"/>
              </w:rPr>
              <w:t>在此基础上构建成本型合作博弈模型，设计满足稳定性条件的成本分配规则，并将转诊比例由外生变量扩展为联盟成员的策略性选择。数值仿真表明，</w:t>
            </w:r>
            <w:r w:rsidR="00BC577B" w:rsidRPr="00BC577B">
              <w:rPr>
                <w:rFonts w:ascii="Times New Roman" w:eastAsia="宋体" w:hAnsi="Times New Roman" w:cs="Times New Roman"/>
                <w:color w:val="000000"/>
                <w:kern w:val="0"/>
                <w:sz w:val="24"/>
                <w:szCs w:val="24"/>
              </w:rPr>
              <w:t>外包机制在高服务强度或高变异性系统中节约成本效果显著，由核心医院主导的策略性转诊的合作效率最高。</w:t>
            </w:r>
          </w:p>
          <w:p w14:paraId="32105B19" w14:textId="4692F2EB" w:rsidR="009C43FA" w:rsidRPr="00BC577B" w:rsidRDefault="00BC577B" w:rsidP="00BC577B">
            <w:pPr>
              <w:widowControl/>
              <w:ind w:firstLineChars="200" w:firstLine="480"/>
              <w:rPr>
                <w:rFonts w:ascii="Times New Roman" w:eastAsia="宋体" w:hAnsi="Times New Roman" w:cs="Times New Roman"/>
                <w:color w:val="000000"/>
                <w:kern w:val="0"/>
                <w:sz w:val="24"/>
                <w:szCs w:val="24"/>
              </w:rPr>
            </w:pPr>
            <w:r w:rsidRPr="00BC577B">
              <w:rPr>
                <w:rFonts w:ascii="Times New Roman" w:eastAsia="宋体" w:hAnsi="Times New Roman" w:cs="Times New Roman"/>
                <w:color w:val="000000"/>
                <w:kern w:val="0"/>
                <w:sz w:val="24"/>
                <w:szCs w:val="24"/>
              </w:rPr>
              <w:t>更进一步，将转诊成本与联盟结构约束纳入分析框架，构建更贴近实际的医联体合作模型。在一般联盟结构下，以最小化延迟成本和转诊成本为目标，构建</w:t>
            </w:r>
            <w:r w:rsidRPr="00BC577B">
              <w:rPr>
                <w:rFonts w:ascii="Times New Roman" w:eastAsia="宋体" w:hAnsi="Times New Roman" w:cs="Times New Roman"/>
                <w:color w:val="000000"/>
                <w:kern w:val="0"/>
                <w:sz w:val="24"/>
                <w:szCs w:val="24"/>
              </w:rPr>
              <w:t>M/G/1</w:t>
            </w:r>
            <w:r w:rsidRPr="00BC577B">
              <w:rPr>
                <w:rFonts w:ascii="Times New Roman" w:eastAsia="宋体" w:hAnsi="Times New Roman" w:cs="Times New Roman"/>
                <w:color w:val="000000"/>
                <w:kern w:val="0"/>
                <w:sz w:val="24"/>
                <w:szCs w:val="24"/>
              </w:rPr>
              <w:t>排队合作优化模型，推导出最优转诊策略的均衡条件，并基于对偶理论设计了由均衡转诊价格与边际补贴构成的双价格成本分配机制，该机制被证明属于合作博弈核心。在此基础上拓展至限制性联盟情形，约束患者转诊路径的可达性，分析其转诊策略和成本分配机制的影响。仿真结果显示，一般联盟与限制性联盟下的最优转诊策略在补偿支付上呈现差异，部分医院可同时作为转出者与接收者，转诊支付具有双向性；联盟结构的互联互通性在应对不断增加的转诊成本时具有关键的缓冲作用，一般联盟的合作效率显著优于限制性联盟。</w:t>
            </w:r>
          </w:p>
          <w:p w14:paraId="48C9A549" w14:textId="0FC94B30" w:rsidR="000F33B2" w:rsidRPr="00BC577B" w:rsidRDefault="009C43FA" w:rsidP="00BC577B">
            <w:pPr>
              <w:widowControl/>
              <w:ind w:firstLineChars="200" w:firstLine="480"/>
              <w:rPr>
                <w:rFonts w:ascii="Times New Roman" w:eastAsia="宋体" w:hAnsi="Times New Roman" w:cs="Times New Roman" w:hint="eastAsia"/>
                <w:color w:val="000000"/>
                <w:kern w:val="0"/>
                <w:sz w:val="24"/>
                <w:szCs w:val="24"/>
              </w:rPr>
            </w:pPr>
            <w:r w:rsidRPr="00BC577B">
              <w:rPr>
                <w:rFonts w:ascii="Times New Roman" w:eastAsia="宋体" w:hAnsi="Times New Roman" w:cs="Times New Roman"/>
                <w:color w:val="000000"/>
                <w:kern w:val="0"/>
                <w:sz w:val="24"/>
                <w:szCs w:val="24"/>
              </w:rPr>
              <w:t>最后，</w:t>
            </w:r>
            <w:r w:rsidR="00BC577B" w:rsidRPr="00BC577B">
              <w:rPr>
                <w:rFonts w:ascii="Times New Roman" w:eastAsia="宋体" w:hAnsi="Times New Roman" w:cs="Times New Roman"/>
                <w:color w:val="000000"/>
                <w:kern w:val="0"/>
                <w:sz w:val="24"/>
                <w:szCs w:val="24"/>
              </w:rPr>
              <w:t>针对重症患者上转后优先服务所引发的排队延迟问题，构建绿色通道补偿机制模型，系统探讨医联体内部的公平补偿与激励协调机制。在双边合作情境下，基于非抢占式</w:t>
            </w:r>
            <w:r w:rsidR="00BC577B" w:rsidRPr="00BC577B">
              <w:rPr>
                <w:rFonts w:ascii="Times New Roman" w:eastAsia="宋体" w:hAnsi="Times New Roman" w:cs="Times New Roman"/>
                <w:color w:val="000000"/>
                <w:kern w:val="0"/>
                <w:sz w:val="24"/>
                <w:szCs w:val="24"/>
              </w:rPr>
              <w:t>M/G/1</w:t>
            </w:r>
            <w:r w:rsidR="00BC577B" w:rsidRPr="00BC577B">
              <w:rPr>
                <w:rFonts w:ascii="Times New Roman" w:eastAsia="宋体" w:hAnsi="Times New Roman" w:cs="Times New Roman"/>
                <w:color w:val="000000"/>
                <w:kern w:val="0"/>
                <w:sz w:val="24"/>
                <w:szCs w:val="24"/>
              </w:rPr>
              <w:t>优先排队系统和纳什谈判模型，求解最优补偿价格，并提出基于</w:t>
            </w:r>
            <w:r w:rsidR="00BC577B" w:rsidRPr="00BC577B">
              <w:rPr>
                <w:rFonts w:ascii="Times New Roman" w:eastAsia="宋体" w:hAnsi="Times New Roman" w:cs="Times New Roman"/>
                <w:color w:val="000000"/>
                <w:kern w:val="0"/>
                <w:sz w:val="24"/>
                <w:szCs w:val="24"/>
              </w:rPr>
              <w:t>Shapley</w:t>
            </w:r>
            <w:r w:rsidR="00BC577B" w:rsidRPr="00BC577B">
              <w:rPr>
                <w:rFonts w:ascii="Times New Roman" w:eastAsia="宋体" w:hAnsi="Times New Roman" w:cs="Times New Roman"/>
                <w:color w:val="000000"/>
                <w:kern w:val="0"/>
                <w:sz w:val="24"/>
                <w:szCs w:val="24"/>
              </w:rPr>
              <w:t>值的核心分配方案。进一步扩展至</w:t>
            </w:r>
            <w:r w:rsidR="00BC577B" w:rsidRPr="00BC577B">
              <w:rPr>
                <w:rFonts w:ascii="Times New Roman" w:eastAsia="宋体" w:hAnsi="Times New Roman" w:cs="Times New Roman"/>
                <w:color w:val="000000"/>
                <w:kern w:val="0"/>
                <w:sz w:val="24"/>
                <w:szCs w:val="24"/>
              </w:rPr>
              <w:t>“1+N”</w:t>
            </w:r>
            <w:r w:rsidR="00BC577B" w:rsidRPr="00BC577B">
              <w:rPr>
                <w:rFonts w:ascii="Times New Roman" w:eastAsia="宋体" w:hAnsi="Times New Roman" w:cs="Times New Roman"/>
                <w:color w:val="000000"/>
                <w:kern w:val="0"/>
                <w:sz w:val="24"/>
                <w:szCs w:val="24"/>
              </w:rPr>
              <w:t>结构的多边医联体情形，设计差异化补偿与成本分配机制，系统比较了基于</w:t>
            </w:r>
            <w:r w:rsidR="00BC577B" w:rsidRPr="00BC577B">
              <w:rPr>
                <w:rFonts w:ascii="Times New Roman" w:eastAsia="宋体" w:hAnsi="Times New Roman" w:cs="Times New Roman"/>
                <w:color w:val="000000"/>
                <w:kern w:val="0"/>
                <w:sz w:val="24"/>
                <w:szCs w:val="24"/>
              </w:rPr>
              <w:t>Shapley</w:t>
            </w:r>
            <w:r w:rsidR="00BC577B" w:rsidRPr="00BC577B">
              <w:rPr>
                <w:rFonts w:ascii="Times New Roman" w:eastAsia="宋体" w:hAnsi="Times New Roman" w:cs="Times New Roman"/>
                <w:color w:val="000000"/>
                <w:kern w:val="0"/>
                <w:sz w:val="24"/>
                <w:szCs w:val="24"/>
              </w:rPr>
              <w:t>值与</w:t>
            </w:r>
            <w:r w:rsidR="00BC577B" w:rsidRPr="00BC577B">
              <w:rPr>
                <w:rFonts w:ascii="Times New Roman" w:eastAsia="宋体" w:hAnsi="Times New Roman" w:cs="Times New Roman"/>
                <w:color w:val="000000"/>
                <w:kern w:val="0"/>
                <w:sz w:val="24"/>
                <w:szCs w:val="24"/>
              </w:rPr>
              <w:t>Kalai-Smorodinsky</w:t>
            </w:r>
            <w:r w:rsidR="00BC577B" w:rsidRPr="00BC577B">
              <w:rPr>
                <w:rFonts w:ascii="Times New Roman" w:eastAsia="宋体" w:hAnsi="Times New Roman" w:cs="Times New Roman"/>
                <w:color w:val="000000"/>
                <w:kern w:val="0"/>
                <w:sz w:val="24"/>
                <w:szCs w:val="24"/>
              </w:rPr>
              <w:t>（</w:t>
            </w:r>
            <w:r w:rsidR="00BC577B" w:rsidRPr="00BC577B">
              <w:rPr>
                <w:rFonts w:ascii="Times New Roman" w:eastAsia="宋体" w:hAnsi="Times New Roman" w:cs="Times New Roman"/>
                <w:color w:val="000000"/>
                <w:kern w:val="0"/>
                <w:sz w:val="24"/>
                <w:szCs w:val="24"/>
              </w:rPr>
              <w:t>K-S</w:t>
            </w:r>
            <w:r w:rsidR="00BC577B" w:rsidRPr="00BC577B">
              <w:rPr>
                <w:rFonts w:ascii="Times New Roman" w:eastAsia="宋体" w:hAnsi="Times New Roman" w:cs="Times New Roman"/>
                <w:color w:val="000000"/>
                <w:kern w:val="0"/>
                <w:sz w:val="24"/>
                <w:szCs w:val="24"/>
              </w:rPr>
              <w:t>）两种分配规则。数值模拟表明，</w:t>
            </w:r>
            <w:r w:rsidR="00BC577B" w:rsidRPr="00BC577B">
              <w:rPr>
                <w:rFonts w:ascii="Times New Roman" w:eastAsia="宋体" w:hAnsi="Times New Roman" w:cs="Times New Roman"/>
                <w:color w:val="000000"/>
                <w:kern w:val="0"/>
                <w:sz w:val="24"/>
                <w:szCs w:val="24"/>
              </w:rPr>
              <w:t>K-S</w:t>
            </w:r>
            <w:r w:rsidR="00BC577B" w:rsidRPr="00BC577B">
              <w:rPr>
                <w:rFonts w:ascii="Times New Roman" w:eastAsia="宋体" w:hAnsi="Times New Roman" w:cs="Times New Roman"/>
                <w:color w:val="000000"/>
                <w:kern w:val="0"/>
                <w:sz w:val="24"/>
                <w:szCs w:val="24"/>
              </w:rPr>
              <w:t>分配机制在生成核心解方面更具优势，而</w:t>
            </w:r>
            <w:r w:rsidR="00BC577B" w:rsidRPr="00BC577B">
              <w:rPr>
                <w:rFonts w:ascii="Times New Roman" w:eastAsia="宋体" w:hAnsi="Times New Roman" w:cs="Times New Roman"/>
                <w:color w:val="000000"/>
                <w:kern w:val="0"/>
                <w:sz w:val="24"/>
                <w:szCs w:val="24"/>
              </w:rPr>
              <w:t>Shapley</w:t>
            </w:r>
            <w:r w:rsidR="00BC577B" w:rsidRPr="00BC577B">
              <w:rPr>
                <w:rFonts w:ascii="Times New Roman" w:eastAsia="宋体" w:hAnsi="Times New Roman" w:cs="Times New Roman"/>
                <w:color w:val="000000"/>
                <w:kern w:val="0"/>
                <w:sz w:val="24"/>
                <w:szCs w:val="24"/>
              </w:rPr>
              <w:t>解在非核心情形下表现出更强的边际激励效应；同时，系统拥堵程度与惩罚成本是影响补偿价格与联盟可持续性的关键因素。</w:t>
            </w:r>
          </w:p>
        </w:tc>
      </w:tr>
    </w:tbl>
    <w:p w14:paraId="18FB9FD3" w14:textId="77777777" w:rsidR="00993E9F" w:rsidRPr="00BC577B" w:rsidRDefault="00993E9F" w:rsidP="00F95865">
      <w:pPr>
        <w:rPr>
          <w:sz w:val="24"/>
          <w:szCs w:val="24"/>
        </w:rPr>
      </w:pPr>
    </w:p>
    <w:sectPr w:rsidR="00993E9F" w:rsidRPr="00BC577B"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DB7" w14:textId="77777777" w:rsidR="008D4585" w:rsidRDefault="008D4585" w:rsidP="00BA5512">
      <w:r>
        <w:separator/>
      </w:r>
    </w:p>
  </w:endnote>
  <w:endnote w:type="continuationSeparator" w:id="0">
    <w:p w14:paraId="3587DC8F" w14:textId="77777777" w:rsidR="008D4585" w:rsidRDefault="008D4585"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D20EF" w14:textId="77777777" w:rsidR="008D4585" w:rsidRDefault="008D4585" w:rsidP="00BA5512">
      <w:r>
        <w:separator/>
      </w:r>
    </w:p>
  </w:footnote>
  <w:footnote w:type="continuationSeparator" w:id="0">
    <w:p w14:paraId="783A03EE" w14:textId="77777777" w:rsidR="008D4585" w:rsidRDefault="008D4585"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7766"/>
    <w:rsid w:val="0004344F"/>
    <w:rsid w:val="000561F3"/>
    <w:rsid w:val="00063BE8"/>
    <w:rsid w:val="00072FEC"/>
    <w:rsid w:val="000C309C"/>
    <w:rsid w:val="000F33B2"/>
    <w:rsid w:val="0014433F"/>
    <w:rsid w:val="001A5243"/>
    <w:rsid w:val="001B350E"/>
    <w:rsid w:val="002053C1"/>
    <w:rsid w:val="00223D45"/>
    <w:rsid w:val="00371164"/>
    <w:rsid w:val="003745DA"/>
    <w:rsid w:val="003B0D17"/>
    <w:rsid w:val="003D17E1"/>
    <w:rsid w:val="003D4482"/>
    <w:rsid w:val="003F7766"/>
    <w:rsid w:val="00445EA3"/>
    <w:rsid w:val="00495B29"/>
    <w:rsid w:val="00567FA6"/>
    <w:rsid w:val="00671515"/>
    <w:rsid w:val="00693225"/>
    <w:rsid w:val="006940BD"/>
    <w:rsid w:val="00697950"/>
    <w:rsid w:val="006D41A3"/>
    <w:rsid w:val="006D7BC5"/>
    <w:rsid w:val="007161AA"/>
    <w:rsid w:val="00717274"/>
    <w:rsid w:val="00776AA6"/>
    <w:rsid w:val="00835D66"/>
    <w:rsid w:val="008B6443"/>
    <w:rsid w:val="008D4585"/>
    <w:rsid w:val="008E2DD2"/>
    <w:rsid w:val="00953245"/>
    <w:rsid w:val="00993E9F"/>
    <w:rsid w:val="009C43FA"/>
    <w:rsid w:val="009F37AD"/>
    <w:rsid w:val="00A26486"/>
    <w:rsid w:val="00AF4E7B"/>
    <w:rsid w:val="00B0176A"/>
    <w:rsid w:val="00BA5512"/>
    <w:rsid w:val="00BC577B"/>
    <w:rsid w:val="00C9692C"/>
    <w:rsid w:val="00CA3673"/>
    <w:rsid w:val="00CB7F5D"/>
    <w:rsid w:val="00D01C3B"/>
    <w:rsid w:val="00DA647F"/>
    <w:rsid w:val="00DE53CD"/>
    <w:rsid w:val="00E4144B"/>
    <w:rsid w:val="00F14DF6"/>
    <w:rsid w:val="00F433B6"/>
    <w:rsid w:val="00F94709"/>
    <w:rsid w:val="00F95865"/>
    <w:rsid w:val="00FB74F3"/>
    <w:rsid w:val="00FC3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E5E9F"/>
  <w15:docId w15:val="{56192DAE-5930-4281-8FCD-2DAC0C22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207</Words>
  <Characters>1182</Characters>
  <Application>Microsoft Office Word</Application>
  <DocSecurity>0</DocSecurity>
  <Lines>9</Lines>
  <Paragraphs>2</Paragraphs>
  <ScaleCrop>false</ScaleCrop>
  <Company>Lenovo</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lijun gao</cp:lastModifiedBy>
  <cp:revision>35</cp:revision>
  <cp:lastPrinted>2017-01-06T07:14:00Z</cp:lastPrinted>
  <dcterms:created xsi:type="dcterms:W3CDTF">2017-01-06T06:51:00Z</dcterms:created>
  <dcterms:modified xsi:type="dcterms:W3CDTF">2025-11-13T02:59:00Z</dcterms:modified>
</cp:coreProperties>
</file>