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D2B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360" w:afterAutospacing="0" w:line="480" w:lineRule="atLeast"/>
        <w:ind w:left="0" w:right="0" w:firstLine="420"/>
        <w:jc w:val="center"/>
        <w:rPr>
          <w:rFonts w:ascii="微软雅黑" w:hAnsi="微软雅黑" w:eastAsia="微软雅黑" w:cs="微软雅黑"/>
          <w:i w:val="0"/>
          <w:iCs w:val="0"/>
          <w:caps w:val="0"/>
          <w:color w:val="262626"/>
          <w:spacing w:val="0"/>
          <w:sz w:val="27"/>
          <w:szCs w:val="27"/>
        </w:rPr>
      </w:pPr>
      <w:r>
        <w:rPr>
          <w:rStyle w:val="6"/>
          <w:rFonts w:hint="eastAsia" w:ascii="微软雅黑" w:hAnsi="微软雅黑" w:eastAsia="微软雅黑" w:cs="微软雅黑"/>
          <w:b/>
          <w:bCs/>
          <w:i w:val="0"/>
          <w:iCs w:val="0"/>
          <w:caps w:val="0"/>
          <w:color w:val="262626"/>
          <w:spacing w:val="0"/>
          <w:sz w:val="27"/>
          <w:szCs w:val="27"/>
          <w:shd w:val="clear" w:fill="FFFFFF"/>
        </w:rPr>
        <w:t>中国共产党第二十届中央委员会第四次全体会议公报</w:t>
      </w:r>
    </w:p>
    <w:p w14:paraId="4EF186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360" w:afterAutospacing="0" w:line="480" w:lineRule="atLeast"/>
        <w:ind w:left="0" w:right="0" w:firstLine="420"/>
        <w:jc w:val="center"/>
        <w:rPr>
          <w:rFonts w:hint="eastAsia" w:ascii="微软雅黑" w:hAnsi="微软雅黑" w:eastAsia="微软雅黑" w:cs="微软雅黑"/>
          <w:i w:val="0"/>
          <w:iCs w:val="0"/>
          <w:caps w:val="0"/>
          <w:color w:val="262626"/>
          <w:spacing w:val="0"/>
          <w:sz w:val="24"/>
          <w:szCs w:val="24"/>
          <w:highlight w:val="none"/>
        </w:rPr>
      </w:pPr>
      <w:r>
        <w:rPr>
          <w:rFonts w:ascii="楷体" w:hAnsi="楷体" w:eastAsia="楷体" w:cs="楷体"/>
          <w:i w:val="0"/>
          <w:iCs w:val="0"/>
          <w:caps w:val="0"/>
          <w:color w:val="262626"/>
          <w:spacing w:val="0"/>
          <w:sz w:val="24"/>
          <w:szCs w:val="24"/>
          <w:highlight w:val="none"/>
          <w:shd w:val="clear" w:fill="FFFFFF"/>
        </w:rPr>
        <w:t>（2025年10月23日中国共产党第二十届中央委员会第四次全体会议通过）</w:t>
      </w:r>
    </w:p>
    <w:p w14:paraId="20143029">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中国共产党第二十届中央委员会第四次全体会议，于2025年10月20日至23日在北京举行。</w:t>
      </w:r>
    </w:p>
    <w:p w14:paraId="018C6EA4">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出席这次全会的有，中央委员168人，候补中央委员147人。中央纪律检查委员会常务委员会委员和有关方面负责同志列席会议。党的二十大代表中部分基层同志和专家学者也列席了会议。</w:t>
      </w:r>
    </w:p>
    <w:p w14:paraId="7C3E821A">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全会由中央政治局主持。中央委员会总书记习近平作了重要讲话。</w:t>
      </w:r>
    </w:p>
    <w:p w14:paraId="76BF5AB7">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全会听取和讨论了习近平受中央政治局委托所作的工作报告，审议通过了《中共中央关于制定国民经济和社会发展第十五个五年规划的建议》。习近平就《建议（讨论稿）》向全会作了说明。</w:t>
      </w:r>
    </w:p>
    <w:p w14:paraId="5215B136">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充分肯定党的二十届三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进一步全面深化改革，扎实推动高质量发展，推进社会主义民主法治建设，加强宣传思想文化工作，切实抓好民生保障和生态环境保护，维护国家安全和社会稳定，开展深入贯彻中央八项规定精神学习教育、纵深推进全面从严治党，加强国防和军队现代化建设，做好港澳工作和对台工作，深入推进中国特色大国外交，推动经济持续回升向好，“十四五”主要目标任务即将胜利完成。隆重纪念中国人民抗日战争暨世界反法西斯战争胜利80周年，极大振奋民族精神、激发爱国热情、凝聚奋斗力量。</w:t>
      </w:r>
    </w:p>
    <w:p w14:paraId="0B5D69BE">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高度评价“十四五”时期我国发展取得的重大成就。“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我国经济实力、科技实力、综合国力跃上新台阶，中国式现代化迈出新的坚实步伐，第二个百年奋斗目标新征程实现良好开局。</w:t>
      </w:r>
    </w:p>
    <w:p w14:paraId="06D37F0C">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指出，实现社会主义现代化是一个阶梯式递进、不断发展进步的历史过程，需要不懈努力、接续奋斗。“十五五”时期是基本实现社会主义现代化夯实基础、全面发力的关键时期，在基本实现社会主义现代化进程中具有承前启后的重要地位。“十五五”时期我国发展环境面临深刻复杂变化，我国发展处于战略机遇和风险挑战并存、不确定难预料因素增多的时期。我国经济基础稳、优势多、韧性强、潜能大，长期向好的支撑条件和基本趋势没有变，中国特色社会主义制度优势、超大规模市场优势、完整产业体系优势、丰富人才资源优势更加彰显。全党要深刻领悟“两个确立”的决定性意义，增强“四个意识”、坚定“四个自信”、做到“两个维护”，保持战略定力，增强必胜信心，积极识变应变求变，敢于斗争、善于斗争，勇于面对风高浪急甚至惊涛骇浪的重大考验，以历史主动精神克难关、战风险、迎挑战，集中力量办好自己的事，续写经济快速发展和社会长期稳定两大奇迹新篇章，奋力开创中国式现代化建设新局面。</w:t>
      </w:r>
    </w:p>
    <w:p w14:paraId="03B5D5E5">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强调，“十五五”时期经济社会发展，必须坚持马克思列宁主义、毛泽东思想、邓小平理论、“三个代表”重要思想、科学发展观，全面贯彻习近平新时代中国特色社会主义思想，深入贯彻党的二十大和二十届历次全会精神，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342A4461">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全会指出，“十五五”时期经济社会发展必须遵循以下原则，坚持党的全面领导，坚持人民至上，坚持高质量发展，坚持全面深化改革，坚持有效市场和有为政府相结合，坚持统筹发展和安全。</w:t>
      </w:r>
    </w:p>
    <w:p w14:paraId="169EE06C">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了“十五五”时期经济社会发展的主要目标：高质量发展取得显著成效，科技自立自强水平大幅提高，进一步全面深化改革取得新突破，社会文明程度明显提升，人民生活品质不断提高，美丽中国建设取得新的重大进展，国家安全屏障更加巩固。在此基础上再奋斗五年，到二〇三五年实现我国经济实力、科技实力、国防实力、综合国力和国际影响力大幅跃升，人均国内生产总值达到中等发达国家水平，人民生活更加幸福美好，基本实现社会主义现代化。</w:t>
      </w:r>
    </w:p>
    <w:p w14:paraId="1820A53D">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建设现代化产业体系，巩固壮大实体经济根基。坚持把发展经济的着力点放在实体经济上，坚持智能化、绿色化、融合化方向，加快建设制造强国、质量强国、航天强国、交通强国、网络强国，保持制造业合理比重，构建以先进制造业为骨干的现代化产业体系。要优化提升传统产业，培育壮大新兴产业和未来产业，促进服务业优质高效发展，构建现代化基础设施体系。</w:t>
      </w:r>
    </w:p>
    <w:p w14:paraId="7277B856">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加快高水平科技自立自强，引领发展新质生产力。抓住新一轮科技革命和产业变革历史机遇，统筹教育强国、科技强国、人才强国建设，提升国家创新体系整体效能，全面增强自主创新能力，抢占科技发展制高点，不断催生新质生产力。要加强原始创新和关键核心技术攻关，推动科技创新和产业创新深度融合，一体推进教育科技人才发展，深入推进数字中国建设。</w:t>
      </w:r>
    </w:p>
    <w:p w14:paraId="176744BD">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建设强大国内市场，加快构建新发展格局。坚持扩大内需这个战略基点，坚持惠民生和促消费、投资于物和投资于人紧密结合，以新需求引领新供给，以新供给创造新需求，促进消费和投资、供给和需求良性互动，增强国内大循环内生动力和可靠性。要大力提振消费，扩大有效投资，坚决破除阻碍全国统一大市场建设卡点堵点。</w:t>
      </w:r>
    </w:p>
    <w:p w14:paraId="0B82B33F">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加快构建高水平社会主义市场经济体制，增强高质量发展动力。坚持和完善社会主义基本经济制度，更好发挥经济体制改革牵引作用，完善宏观经济治理体系，确保高质量发展行稳致远。要充分激发各类经营主体活力，加快完善要素市场化配置体制机制，提升宏观经济治理效能。</w:t>
      </w:r>
    </w:p>
    <w:p w14:paraId="7FAB8672">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扩大高水平对外开放，开创合作共赢新局面。稳步扩大制度型开放，维护多边贸易体制，拓展国际循环，以开放促改革促发展，与世界各国共享机遇、共同发展。要积极扩大自主开放，推动贸易创新发展，拓展双向投资合作空间，高质量共建“一带一路”。</w:t>
      </w:r>
    </w:p>
    <w:p w14:paraId="5F4913D3">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加快农业农村现代化，扎实推进乡村全面振兴。坚持把解决好“三农”问题作为全党工作重中之重，促进城乡融合发展，持续巩固拓展脱贫攻坚成果，推动农村基本具备现代生活条件，加快建设农业强国。要提升农业综合生产能力和质量效益，推进宜居宜业和美乡村建设，提高强农惠农富农政策效能。</w:t>
      </w:r>
    </w:p>
    <w:p w14:paraId="352F3D55">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优化区域经济布局，促进区域协调发展。发挥区域协调发展战略、区域重大战略、主体功能区战略、新型城镇化战略叠加效应，优化重大生产力布局，发挥重点区域增长极作用，构建优势互补、高质量发展的区域经济布局和国土空间体系。要增强区域发展协调性，促进区域联动发展，优化国土空间发展格局，深入推进以人为本的新型城镇化，加强海洋开发利用保护。</w:t>
      </w:r>
    </w:p>
    <w:p w14:paraId="64ACF47F">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激发全民族文化创新创造活力，繁荣发展社会主义文化。坚持马克思主义在意识形态领域的指导地位，植根博大精深的中华文明，顺应信息技术发展潮流，发展具有强大思想引领力、精神凝聚力、价值感召力、国际影响力的新时代中国特色社会主义文化，扎实推进文化强国建设。要弘扬和践行社会主义核心价值观，大力繁荣文化事业，加快发展文化产业，提升中华文明传播力影响力。</w:t>
      </w:r>
    </w:p>
    <w:p w14:paraId="527B4E50">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加大保障和改善民生力度，扎实推进全体人民共同富裕。坚持尽力而为、量力而行，加强普惠性、基础性、兜底性民生建设，解决好人民群众急难愁盼问题，畅通社会流动渠道，提高人民生活品质。要促进高质量充分就业，完善收入分配制度，办好人民满意的教育，健全社会保障体系，推动房地产高质量发展，加快建设健康中国，促进人口高质量发展，稳步推进基本公共服务均等化。</w:t>
      </w:r>
    </w:p>
    <w:p w14:paraId="1256B7EA">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加快经济社会发展全面绿色转型，建设美丽中国。牢固树立和践行绿水青山就是金山银山的理念，以碳达峰碳中和为牵引，协同推进降碳、减污、扩绿、增长，筑牢生态安全屏障，增强绿色发展动能。要持续深入推进污染防治攻坚和生态系统优化，加快建设新型能源体系，积极稳妥推进和实现碳达峰，加快形成绿色生产生活方式。</w:t>
      </w:r>
    </w:p>
    <w:p w14:paraId="5CA3AF16">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推进国家安全体系和能力现代化，建设更高水平平安中国。坚定不移贯彻总体国家安全观，走中国特色社会主义社会治理之路，确保社会生机勃勃又井然有序。要健全国家安全体系，加强重点领域国家安全能力建设，提高公共安全治理水平，完善社会治理体系。</w:t>
      </w:r>
    </w:p>
    <w:p w14:paraId="3F9B581D">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提出，如期实现建军一百年奋斗目标，高质量推进国防和军队现代化。贯彻习近平强军思想，贯彻新时代军事战略方针，坚持党对人民军队绝对领导，贯彻军委主席负责制，按照国防和军队现代化新“三步走”战略，推进政治建军、改革强军、科技强军、人才强军、依法治军，边斗争、边备战、边建设，加快机械化信息化智能化融合发展，提高捍卫国家主权、安全、发展利益战略能力。要加快先进战斗力建设，推进军事治理现代化，巩固提高一体化国家战略体系和能力。</w:t>
      </w:r>
    </w:p>
    <w:p w14:paraId="0A0E7B2D">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强调，全党全国各族人民团结起来为实现“十五五”规划而奋斗。坚持以党的自我革命引领社会革命，持之以恒推进全面从严治党，增强党的政治领导力、思想引领力、群众组织力、社会号召力，提高党领导经济社会发展能力和水平，为推进中国式现代化凝聚磅礴力量。要坚持和加强党中央集中统一领导，推进社会主义民主法治建设，充分调动全社会投身中国式现代化建设的积极性主动性创造性。促进香港、澳门长期繁荣稳定，推动两岸关系和平发展、推进祖国统一大业，推动构建人类命运共同体。</w:t>
      </w:r>
    </w:p>
    <w:p w14:paraId="15F35D51">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指出，学习好贯彻好全会精神是当前和今后一个时期全党全国的重大政治任务。要通过各种方式，组织好全会精神的学习、宣讲、宣传，使全党全社会领会好全会精神。要切实抓好全会精神的贯彻落实，坚定不移推动高质量发展，加快构建新发展格局，推动全体人民共同富裕迈出坚实步伐，更好统筹发展和安全，统筹推进经济建设和各领域工作，为基本实现社会主义现代化夯实基础。</w:t>
      </w:r>
    </w:p>
    <w:p w14:paraId="080D7B7B">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强调，治国必先治党，党兴才能国强。管党治党越有效，经济社会发展的保障就越有力。必须以永远在路上的坚韧和执着，持之以恒推进全面从严治党，坚决把党的自我革命要求落实到位，推进党的作风建设常态化长效化，坚定不移开展反腐败斗争，为实现“十五五”时期经济社会发展目标提供坚强保证。</w:t>
      </w:r>
    </w:p>
    <w:p w14:paraId="7E3CDA49">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分析了当前形势和任务，强调坚决实现全年经济社会发展目标。要继续精准落实党中央决策部署，着力稳就业、稳企业、稳市场、稳预期，稳住经济基本盘，巩固拓展经济回升向好势头。宏观政策要持续发力、适时加力，落实好企业帮扶政策，深入实施提振消费专项行动，兜牢基层“三保”底线，积极稳妥化解地方政府债务风险。</w:t>
      </w:r>
    </w:p>
    <w:p w14:paraId="4580CA28">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指出，要切实抓好民生保障，多渠道挖掘潜力，加强稳岗促就业工作，促进重点群体稳定就业，加大欠薪整治力度，加强基本公共服务，解决好人民群众急难愁盼问题。切实抓好灾后恢复重建、受灾群众安置和生活保障工作，确保受灾群众温暖过冬。</w:t>
      </w:r>
    </w:p>
    <w:p w14:paraId="5D4B8266">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强调，要做好安全生产和维护稳定工作，压紧压实安全生产责任，严格落实各项监管制度，坚决防范和遏制重特大事故发生。强化食品药品安全全链条监管。深入排查化解矛盾纠纷，加强社会治安整体防控，依法打击各类违法犯罪。加强舆论引导，有效防范化解意识形态风险。</w:t>
      </w:r>
    </w:p>
    <w:p w14:paraId="094ABC16">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全会决定，增补张升民为中共中央军事委员会副主席。</w:t>
      </w:r>
    </w:p>
    <w:p w14:paraId="421BCA73">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全会按照党章规定，决定递补中央委员会候补委员于会文、马汉成、王健、王曦、王永红、王庭凯、王新伟、韦韬、邓亦武、邓修明、卢红为中央委员会委员。</w:t>
      </w:r>
    </w:p>
    <w:p w14:paraId="4609B4DC">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审议并通过了中共中央纪律检查委员会关于唐仁健、金湘军、李石松、杨发森、朱芝松严重违纪违法问题的审查报告，审议并通过了中共中央军事委员会关于何卫东、苗华、何宏军、王秀斌、林向阳、秦树桐、袁华智、王春宁、张凤中严重违纪违法问题的审查报告，确认中央政治局之前作出的给予何卫东、苗华、唐仁健、金湘军、何宏军、王秀斌、林向阳、秦树桐、袁华智、王春宁、李石松、杨发森、朱芝松、张凤中开除党籍的处分。</w:t>
      </w:r>
    </w:p>
    <w:p w14:paraId="6BB8C547">
      <w:pPr>
        <w:bidi w:val="0"/>
        <w:ind w:firstLine="560" w:firstLineChars="200"/>
        <w:rPr>
          <w:rFonts w:hint="eastAsia" w:ascii="仿宋_GB2312" w:hAnsi="仿宋_GB2312" w:eastAsia="仿宋_GB2312" w:cs="仿宋_GB2312"/>
          <w:sz w:val="28"/>
          <w:szCs w:val="36"/>
          <w:highlight w:val="none"/>
        </w:rPr>
      </w:pPr>
      <w:r>
        <w:rPr>
          <w:rFonts w:hint="eastAsia" w:ascii="仿宋_GB2312" w:hAnsi="仿宋_GB2312" w:eastAsia="仿宋_GB2312" w:cs="仿宋_GB2312"/>
          <w:sz w:val="28"/>
          <w:szCs w:val="36"/>
          <w:highlight w:val="none"/>
        </w:rPr>
        <w:t>全会号召，全党全军全国各族人民要更加紧密地团结在以习近平同志为核心的党中央周围，为基本实现社会主义现代化而共同奋斗，不断开创以中国式现代化全面推进强国建设、民族复兴伟业新局面。</w:t>
      </w:r>
    </w:p>
    <w:p w14:paraId="5BFFEEDC">
      <w:pPr>
        <w:bidi w:val="0"/>
        <w:rPr>
          <w:rFonts w:hint="eastAsia" w:ascii="仿宋_GB2312" w:hAnsi="仿宋_GB2312" w:eastAsia="仿宋_GB2312" w:cs="仿宋_GB2312"/>
          <w:sz w:val="28"/>
          <w:szCs w:val="36"/>
          <w:highlight w:val="none"/>
        </w:rPr>
      </w:pPr>
    </w:p>
    <w:p w14:paraId="4CF6022E">
      <w:pPr>
        <w:bidi w:val="0"/>
        <w:rPr>
          <w:rFonts w:hint="eastAsia"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val="en-US" w:eastAsia="zh-CN"/>
        </w:rPr>
        <w:t>附：</w:t>
      </w:r>
    </w:p>
    <w:p w14:paraId="7C90313D">
      <w:pPr>
        <w:bidi w:val="0"/>
        <w:rPr>
          <w:rFonts w:hint="eastAsia" w:ascii="仿宋_GB2312" w:hAnsi="仿宋_GB2312" w:eastAsia="仿宋_GB2312" w:cs="仿宋_GB2312"/>
          <w:sz w:val="28"/>
          <w:szCs w:val="36"/>
          <w:highlight w:val="none"/>
          <w:lang w:val="en-US" w:eastAsia="zh-CN"/>
        </w:rPr>
      </w:pPr>
      <w:bookmarkStart w:id="0" w:name="_GoBack"/>
      <w:bookmarkEnd w:id="0"/>
      <w:r>
        <w:rPr>
          <w:rFonts w:hint="eastAsia" w:ascii="仿宋_GB2312" w:hAnsi="仿宋_GB2312" w:eastAsia="仿宋_GB2312" w:cs="仿宋_GB2312"/>
          <w:sz w:val="28"/>
          <w:szCs w:val="36"/>
          <w:highlight w:val="none"/>
          <w:lang w:val="en-US" w:eastAsia="zh-CN"/>
        </w:rPr>
        <w:t>新闻播报</w:t>
      </w:r>
    </w:p>
    <w:p w14:paraId="65D5DD30">
      <w:pPr>
        <w:bidi w:val="0"/>
        <w:rPr>
          <w:rFonts w:hint="eastAsia"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val="en-US" w:eastAsia="zh-CN"/>
        </w:rPr>
        <w:fldChar w:fldCharType="begin"/>
      </w:r>
      <w:r>
        <w:rPr>
          <w:rFonts w:hint="eastAsia" w:ascii="仿宋_GB2312" w:hAnsi="仿宋_GB2312" w:eastAsia="仿宋_GB2312" w:cs="仿宋_GB2312"/>
          <w:sz w:val="28"/>
          <w:szCs w:val="36"/>
          <w:highlight w:val="none"/>
          <w:lang w:val="en-US" w:eastAsia="zh-CN"/>
        </w:rPr>
        <w:instrText xml:space="preserve"> HYPERLINK "https://www.xuexi.cn/lgpage/detail/index.html?id=2089882454843065706&amp;amp;item_id=2089882454843065706" </w:instrText>
      </w:r>
      <w:r>
        <w:rPr>
          <w:rFonts w:hint="eastAsia" w:ascii="仿宋_GB2312" w:hAnsi="仿宋_GB2312" w:eastAsia="仿宋_GB2312" w:cs="仿宋_GB2312"/>
          <w:sz w:val="28"/>
          <w:szCs w:val="36"/>
          <w:highlight w:val="none"/>
          <w:lang w:val="en-US" w:eastAsia="zh-CN"/>
        </w:rPr>
        <w:fldChar w:fldCharType="separate"/>
      </w:r>
      <w:r>
        <w:rPr>
          <w:rStyle w:val="7"/>
          <w:rFonts w:hint="eastAsia" w:ascii="仿宋_GB2312" w:hAnsi="仿宋_GB2312" w:eastAsia="仿宋_GB2312" w:cs="仿宋_GB2312"/>
          <w:sz w:val="28"/>
          <w:szCs w:val="36"/>
          <w:highlight w:val="none"/>
          <w:lang w:val="en-US" w:eastAsia="zh-CN"/>
        </w:rPr>
        <w:t>https://www.xuexi.cn/lgpage/detail/index.html?id=2089882454843065706&amp;amp;item_id=2089882454843065706</w:t>
      </w:r>
      <w:r>
        <w:rPr>
          <w:rFonts w:hint="eastAsia" w:ascii="仿宋_GB2312" w:hAnsi="仿宋_GB2312" w:eastAsia="仿宋_GB2312" w:cs="仿宋_GB2312"/>
          <w:sz w:val="28"/>
          <w:szCs w:val="36"/>
          <w:highlight w:val="none"/>
          <w:lang w:val="en-US" w:eastAsia="zh-CN"/>
        </w:rPr>
        <w:fldChar w:fldCharType="end"/>
      </w:r>
    </w:p>
    <w:p w14:paraId="07480688">
      <w:pPr>
        <w:bidi w:val="0"/>
        <w:rPr>
          <w:rFonts w:hint="eastAsia" w:ascii="仿宋_GB2312" w:hAnsi="仿宋_GB2312" w:eastAsia="仿宋_GB2312" w:cs="仿宋_GB2312"/>
          <w:sz w:val="28"/>
          <w:szCs w:val="36"/>
          <w:highlight w:val="none"/>
          <w:lang w:val="en-US" w:eastAsia="zh-CN"/>
        </w:rPr>
      </w:pPr>
    </w:p>
    <w:p w14:paraId="5425BAC4">
      <w:pPr>
        <w:bidi w:val="0"/>
        <w:rPr>
          <w:rFonts w:hint="eastAsia" w:ascii="仿宋_GB2312" w:hAnsi="仿宋_GB2312" w:eastAsia="仿宋_GB2312" w:cs="仿宋_GB2312"/>
          <w:sz w:val="28"/>
          <w:szCs w:val="36"/>
          <w:highlight w:val="none"/>
          <w:lang w:val="en-US" w:eastAsia="zh-CN"/>
        </w:rPr>
      </w:pPr>
      <w:r>
        <w:rPr>
          <w:rFonts w:hint="eastAsia" w:ascii="仿宋_GB2312" w:hAnsi="仿宋_GB2312" w:eastAsia="仿宋_GB2312" w:cs="仿宋_GB2312"/>
          <w:sz w:val="28"/>
          <w:szCs w:val="36"/>
          <w:highlight w:val="none"/>
          <w:lang w:val="en-US" w:eastAsia="zh-CN"/>
        </w:rPr>
        <w:t>一图速览</w:t>
      </w:r>
    </w:p>
    <w:p w14:paraId="42BE7FF7">
      <w:pPr>
        <w:bidi w:val="0"/>
        <w:rPr>
          <w:rFonts w:hint="default" w:ascii="仿宋_GB2312" w:hAnsi="仿宋_GB2312" w:eastAsia="仿宋_GB2312" w:cs="仿宋_GB2312"/>
          <w:sz w:val="28"/>
          <w:szCs w:val="36"/>
          <w:highlight w:val="none"/>
          <w:lang w:val="en-US" w:eastAsia="zh-CN"/>
        </w:rPr>
      </w:pPr>
      <w:r>
        <w:rPr>
          <w:rFonts w:hint="default" w:ascii="仿宋_GB2312" w:hAnsi="仿宋_GB2312" w:eastAsia="仿宋_GB2312" w:cs="仿宋_GB2312"/>
          <w:sz w:val="28"/>
          <w:szCs w:val="36"/>
          <w:highlight w:val="none"/>
          <w:lang w:val="en-US" w:eastAsia="zh-CN"/>
        </w:rPr>
        <w:fldChar w:fldCharType="begin"/>
      </w:r>
      <w:r>
        <w:rPr>
          <w:rFonts w:hint="default" w:ascii="仿宋_GB2312" w:hAnsi="仿宋_GB2312" w:eastAsia="仿宋_GB2312" w:cs="仿宋_GB2312"/>
          <w:sz w:val="28"/>
          <w:szCs w:val="36"/>
          <w:highlight w:val="none"/>
          <w:lang w:val="en-US" w:eastAsia="zh-CN"/>
        </w:rPr>
        <w:instrText xml:space="preserve"> HYPERLINK "https://www.xuexi.cn/lgpage/detail/index.html?id=9444665404569784026&amp;amp;item_id=9444665404569784026" </w:instrText>
      </w:r>
      <w:r>
        <w:rPr>
          <w:rFonts w:hint="default" w:ascii="仿宋_GB2312" w:hAnsi="仿宋_GB2312" w:eastAsia="仿宋_GB2312" w:cs="仿宋_GB2312"/>
          <w:sz w:val="28"/>
          <w:szCs w:val="36"/>
          <w:highlight w:val="none"/>
          <w:lang w:val="en-US" w:eastAsia="zh-CN"/>
        </w:rPr>
        <w:fldChar w:fldCharType="separate"/>
      </w:r>
      <w:r>
        <w:rPr>
          <w:rStyle w:val="7"/>
          <w:rFonts w:hint="default" w:ascii="仿宋_GB2312" w:hAnsi="仿宋_GB2312" w:eastAsia="仿宋_GB2312" w:cs="仿宋_GB2312"/>
          <w:sz w:val="28"/>
          <w:szCs w:val="36"/>
          <w:highlight w:val="none"/>
          <w:lang w:val="en-US" w:eastAsia="zh-CN"/>
        </w:rPr>
        <w:t>https://www.xuexi.cn/lgpage/detail/index.html?id=9444665404569784026&amp;amp;item_id=9444665404569784026</w:t>
      </w:r>
      <w:r>
        <w:rPr>
          <w:rFonts w:hint="default" w:ascii="仿宋_GB2312" w:hAnsi="仿宋_GB2312" w:eastAsia="仿宋_GB2312" w:cs="仿宋_GB2312"/>
          <w:sz w:val="28"/>
          <w:szCs w:val="36"/>
          <w:highlight w:val="none"/>
          <w:lang w:val="en-US" w:eastAsia="zh-CN"/>
        </w:rPr>
        <w:fldChar w:fldCharType="end"/>
      </w:r>
    </w:p>
    <w:p w14:paraId="1CD3FDF2">
      <w:pPr>
        <w:bidi w:val="0"/>
        <w:rPr>
          <w:rFonts w:hint="default" w:ascii="仿宋_GB2312" w:hAnsi="仿宋_GB2312" w:eastAsia="仿宋_GB2312" w:cs="仿宋_GB2312"/>
          <w:sz w:val="28"/>
          <w:szCs w:val="36"/>
          <w:highlight w:val="none"/>
          <w:lang w:val="en-US" w:eastAsia="zh-CN"/>
        </w:rPr>
      </w:pPr>
    </w:p>
    <w:sectPr>
      <w:pgSz w:w="11906" w:h="16838"/>
      <w:pgMar w:top="1440"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40261A"/>
    <w:rsid w:val="584370D0"/>
    <w:rsid w:val="5AB25CFE"/>
    <w:rsid w:val="648F3833"/>
    <w:rsid w:val="64A454C6"/>
    <w:rsid w:val="7A714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5071</Words>
  <Characters>5087</Characters>
  <Lines>0</Lines>
  <Paragraphs>0</Paragraphs>
  <TotalTime>25</TotalTime>
  <ScaleCrop>false</ScaleCrop>
  <LinksUpToDate>false</LinksUpToDate>
  <CharactersWithSpaces>5087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2025-09-29T05:10:00Z</dcterms:created>
  <dc:creator>admin</dc:creator>
  <cp:lastModifiedBy>admin</cp:lastModifiedBy>
  <dcterms:modified xsi:type="dcterms:W3CDTF">2025-10-31T02:01:22Z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eyJoZGlkIjoiMjg3NGZjMjBiZWM0YjJiMGViOGZiZTI3MmQ5NjVhZjQiLCJ1c2VySWQiOiI0OTExMDY2MTYifQ==</vt:lpwstr>
  </property>
  <property fmtid="{D5CDD505-2E9C-101B-9397-08002B2CF9AE}" pid="4" name="ICV">
    <vt:lpwstr>E406551E6F714259AEB062F473AEDDA2_12</vt:lpwstr>
  </property>
</Properties>
</file>