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2003-2010___1.vsd" ContentType="application/vnd.visio"/>
  <Override PartName="/word/embeddings/Microsoft_Visio_2003-2010___2.vsd" ContentType="application/vnd.visio"/>
  <Override PartName="/word/embeddings/Microsoft_Visio_2003-2010___3.vsd" ContentType="application/vnd.visio"/>
  <Override PartName="/word/embeddings/Microsoft_Visio_2003-2010___4.vsd" ContentType="application/vnd.visio"/>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04796">
      <w:pPr>
        <w:widowControl/>
        <w:ind w:firstLine="0" w:firstLineChars="0"/>
        <w:jc w:val="left"/>
        <w:rPr>
          <w:rFonts w:eastAsia="黑体"/>
          <w:bCs/>
          <w:kern w:val="0"/>
          <w:sz w:val="28"/>
          <w:szCs w:val="28"/>
          <w:lang w:bidi="ar"/>
        </w:rPr>
      </w:pPr>
      <w:r>
        <w:rPr>
          <w:rFonts w:eastAsia="黑体"/>
          <w:bCs/>
          <w:kern w:val="0"/>
          <w:sz w:val="28"/>
          <w:szCs w:val="28"/>
          <w:lang w:bidi="ar"/>
        </w:rPr>
        <w:t>附件3</w:t>
      </w:r>
    </w:p>
    <w:p w14:paraId="37618B17">
      <w:pPr>
        <w:widowControl/>
        <w:ind w:firstLine="0" w:firstLineChars="0"/>
        <w:jc w:val="center"/>
        <w:rPr>
          <w:rFonts w:eastAsia="黑体"/>
          <w:b/>
          <w:bCs/>
          <w:kern w:val="0"/>
          <w:sz w:val="48"/>
          <w:szCs w:val="48"/>
          <w:lang w:bidi="ar"/>
        </w:rPr>
      </w:pPr>
      <w:bookmarkStart w:id="0" w:name="_GoBack"/>
      <w:bookmarkEnd w:id="0"/>
      <w:r>
        <w:rPr>
          <w:rFonts w:eastAsia="黑体"/>
          <w:b/>
          <w:bCs/>
          <w:kern w:val="0"/>
          <w:sz w:val="48"/>
          <w:szCs w:val="48"/>
          <w:lang w:bidi="ar"/>
        </w:rPr>
        <w:t>第十届全国城市地下空间工程专业</w:t>
      </w:r>
    </w:p>
    <w:p w14:paraId="79E40CC1">
      <w:pPr>
        <w:widowControl/>
        <w:ind w:firstLine="0" w:firstLineChars="0"/>
        <w:jc w:val="center"/>
        <w:rPr>
          <w:rFonts w:eastAsia="黑体"/>
          <w:b/>
          <w:bCs/>
          <w:kern w:val="0"/>
          <w:sz w:val="48"/>
          <w:szCs w:val="48"/>
          <w:lang w:bidi="ar"/>
        </w:rPr>
      </w:pPr>
      <w:r>
        <w:rPr>
          <w:rFonts w:eastAsia="黑体"/>
          <w:b/>
          <w:bCs/>
          <w:kern w:val="0"/>
          <w:sz w:val="48"/>
          <w:szCs w:val="48"/>
          <w:lang w:bidi="ar"/>
        </w:rPr>
        <w:t>大学生模型设计竞赛说明书</w:t>
      </w:r>
    </w:p>
    <w:p w14:paraId="34B4B77E">
      <w:pPr>
        <w:widowControl/>
        <w:spacing w:after="156" w:afterLines="50"/>
        <w:ind w:firstLine="0" w:firstLineChars="0"/>
        <w:jc w:val="left"/>
        <w:outlineLvl w:val="0"/>
        <w:rPr>
          <w:b/>
          <w:bCs/>
        </w:rPr>
      </w:pPr>
      <w:r>
        <w:rPr>
          <w:b/>
          <w:bCs/>
          <w:kern w:val="0"/>
          <w:sz w:val="32"/>
          <w:szCs w:val="32"/>
          <w:lang w:bidi="ar"/>
        </w:rPr>
        <w:t>一、竞赛题目</w:t>
      </w:r>
    </w:p>
    <w:p w14:paraId="18B4C143">
      <w:pPr>
        <w:widowControl/>
        <w:ind w:firstLine="480"/>
        <w:jc w:val="left"/>
        <w:rPr>
          <w:kern w:val="0"/>
          <w:szCs w:val="24"/>
          <w:lang w:bidi="ar"/>
        </w:rPr>
      </w:pPr>
      <w:r>
        <w:rPr>
          <w:kern w:val="0"/>
          <w:szCs w:val="24"/>
          <w:lang w:bidi="ar"/>
        </w:rPr>
        <w:t>近接复合地基条件下基坑支护设计与建造竞赛。模型总体设计如图1所示。</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5"/>
      </w:tblGrid>
      <w:tr w14:paraId="4CBCC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5" w:type="dxa"/>
            <w:tcBorders>
              <w:top w:val="nil"/>
              <w:left w:val="nil"/>
              <w:bottom w:val="nil"/>
              <w:right w:val="nil"/>
            </w:tcBorders>
            <w:vAlign w:val="center"/>
          </w:tcPr>
          <w:p w14:paraId="4CAEACF1">
            <w:pPr>
              <w:spacing w:before="156" w:beforeLines="50"/>
              <w:ind w:firstLine="0" w:firstLineChars="0"/>
              <w:jc w:val="center"/>
              <w:rPr>
                <w:szCs w:val="24"/>
              </w:rPr>
            </w:pPr>
            <w:r>
              <w:rPr>
                <w:szCs w:val="24"/>
              </w:rPr>
              <w:object>
                <v:shape id="_x0000_i1025" o:spt="75" type="#_x0000_t75" style="height:280.5pt;width:423.75pt;" o:ole="t" filled="f" o:preferrelative="t" stroked="f" coordsize="21600,21600">
                  <v:path/>
                  <v:fill on="f" focussize="0,0"/>
                  <v:stroke on="f" joinstyle="miter"/>
                  <v:imagedata r:id="rId13" o:title=""/>
                  <o:lock v:ext="edit" aspectratio="f"/>
                  <w10:wrap type="none"/>
                  <w10:anchorlock/>
                </v:shape>
                <o:OLEObject Type="Embed" ProgID="Visio.Drawing.11" ShapeID="_x0000_i1025" DrawAspect="Content" ObjectID="_1468075725" r:id="rId12">
                  <o:LockedField>false</o:LockedField>
                </o:OLEObject>
              </w:object>
            </w:r>
          </w:p>
        </w:tc>
      </w:tr>
      <w:tr w14:paraId="0CCE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355" w:type="dxa"/>
            <w:tcBorders>
              <w:top w:val="nil"/>
              <w:left w:val="nil"/>
              <w:bottom w:val="nil"/>
              <w:right w:val="nil"/>
            </w:tcBorders>
            <w:vAlign w:val="center"/>
          </w:tcPr>
          <w:p w14:paraId="4A0137C7">
            <w:pPr>
              <w:ind w:firstLine="0" w:firstLineChars="0"/>
              <w:jc w:val="center"/>
              <w:rPr>
                <w:sz w:val="21"/>
                <w:szCs w:val="21"/>
              </w:rPr>
            </w:pPr>
            <w:r>
              <w:rPr>
                <w:b/>
                <w:bCs/>
                <w:sz w:val="21"/>
                <w:szCs w:val="21"/>
              </w:rPr>
              <w:t>图1 模型箱及支护结构和复合地基结构示意（提示：不局限于图示模型制作形式）</w:t>
            </w:r>
          </w:p>
        </w:tc>
      </w:tr>
    </w:tbl>
    <w:p w14:paraId="64E5B11F">
      <w:pPr>
        <w:widowControl/>
        <w:spacing w:after="156" w:afterLines="50"/>
        <w:ind w:firstLine="0" w:firstLineChars="0"/>
        <w:jc w:val="left"/>
        <w:outlineLvl w:val="0"/>
        <w:rPr>
          <w:b/>
          <w:bCs/>
        </w:rPr>
      </w:pPr>
      <w:r>
        <w:rPr>
          <w:b/>
          <w:bCs/>
          <w:kern w:val="0"/>
          <w:sz w:val="32"/>
          <w:szCs w:val="32"/>
          <w:lang w:bidi="ar"/>
        </w:rPr>
        <w:t>二、竞赛目的</w:t>
      </w:r>
    </w:p>
    <w:p w14:paraId="26475742">
      <w:pPr>
        <w:spacing w:line="360" w:lineRule="auto"/>
        <w:ind w:firstLine="480"/>
        <w:rPr>
          <w:szCs w:val="24"/>
        </w:rPr>
      </w:pPr>
      <w:r>
        <w:rPr>
          <w:rStyle w:val="19"/>
          <w:rFonts w:ascii="Times New Roman" w:hAnsi="Times New Roman" w:cs="Times New Roman"/>
          <w:color w:val="auto"/>
        </w:rPr>
        <w:t>进入21世纪后，我国城市化进程以迅猛之势加速推进，城市规模持续扩张，人口不断向城市聚集，由此引发的资源紧张、空间拥挤等一系列问题愈发严峻。在这样的时代背景下，城市地下空间开发的重要性便凸显出来，成为破解城市发展困局、实现可持续发展的关键路径。目前地下空间开挖施工仍普遍采用明挖基坑形式，然而在城区开挖基坑，周边环境复杂多样，近接复合地基的基坑工程频频出现。临近复合地基，基坑开挖侧向卸荷会改变原有桩土应力场，扰动复合地基桩体受力、诱发</w:t>
      </w:r>
      <w:r>
        <w:rPr>
          <w:szCs w:val="24"/>
        </w:rPr>
        <w:t>地基不均匀沉降，同时复合地基刚度又反向改变基坑侧压力分布、制约支护体系选型，二者相互耦合作用机理复杂，极易出现支护结构变形超标、坑外地表沉降过大等问题。</w:t>
      </w:r>
    </w:p>
    <w:p w14:paraId="3D3C0F5C">
      <w:pPr>
        <w:spacing w:line="360" w:lineRule="auto"/>
        <w:ind w:firstLine="480"/>
        <w:rPr>
          <w:szCs w:val="24"/>
        </w:rPr>
      </w:pPr>
      <w:r>
        <w:rPr>
          <w:szCs w:val="24"/>
        </w:rPr>
        <w:t>全国城市地下空间工程专业模型设计竞赛立足行业工程</w:t>
      </w:r>
      <w:r>
        <w:rPr>
          <w:rFonts w:hint="eastAsia"/>
          <w:szCs w:val="24"/>
        </w:rPr>
        <w:t>实际</w:t>
      </w:r>
      <w:r>
        <w:rPr>
          <w:szCs w:val="24"/>
        </w:rPr>
        <w:t>，以模型设计、实体制作、加载试验为载体衔接课堂理论与工程实践。本选题紧扣城市密集区典型工程场景，聚焦近接复合地基与基坑支护协同受力</w:t>
      </w:r>
      <w:r>
        <w:rPr>
          <w:rFonts w:hint="eastAsia"/>
          <w:szCs w:val="24"/>
        </w:rPr>
        <w:t>问题</w:t>
      </w:r>
      <w:r>
        <w:rPr>
          <w:szCs w:val="24"/>
        </w:rPr>
        <w:t>，贴合</w:t>
      </w:r>
      <w:r>
        <w:rPr>
          <w:rFonts w:hint="eastAsia"/>
          <w:szCs w:val="24"/>
          <w:lang w:val="en-US" w:eastAsia="zh-CN"/>
        </w:rPr>
        <w:t>城市</w:t>
      </w:r>
      <w:r>
        <w:rPr>
          <w:szCs w:val="24"/>
        </w:rPr>
        <w:t>地下空间工程专业岩土力学、基坑支护、复合地基设计等核心课程知识体系；通过竞赛模型搭建与实测分析，可直观揭示基坑开挖与邻近复合地基的相互扰动规律，助力学生夯实专业基础、建立工程化设计思维。</w:t>
      </w:r>
      <w:r>
        <w:rPr>
          <w:rStyle w:val="19"/>
          <w:rFonts w:ascii="Times New Roman" w:hAnsi="Times New Roman" w:cs="Times New Roman"/>
          <w:color w:val="auto"/>
        </w:rPr>
        <w:t>与此同时，</w:t>
      </w:r>
      <w:r>
        <w:rPr>
          <w:rStyle w:val="19"/>
          <w:rFonts w:hint="eastAsia" w:ascii="Times New Roman" w:hAnsi="Times New Roman" w:cs="Times New Roman"/>
          <w:color w:val="auto"/>
        </w:rPr>
        <w:t>通过</w:t>
      </w:r>
      <w:r>
        <w:rPr>
          <w:rStyle w:val="19"/>
          <w:rFonts w:ascii="Times New Roman" w:hAnsi="Times New Roman" w:cs="Times New Roman"/>
          <w:color w:val="auto"/>
        </w:rPr>
        <w:t>竞赛过程中的挑战与成果反馈，激发学生对专业知识的探究热情，提升</w:t>
      </w:r>
      <w:r>
        <w:rPr>
          <w:rStyle w:val="19"/>
          <w:rFonts w:hint="eastAsia" w:ascii="Times New Roman" w:hAnsi="Times New Roman" w:cs="Times New Roman"/>
          <w:color w:val="auto"/>
        </w:rPr>
        <w:t>学生</w:t>
      </w:r>
      <w:r>
        <w:rPr>
          <w:rStyle w:val="19"/>
          <w:rFonts w:ascii="Times New Roman" w:hAnsi="Times New Roman" w:cs="Times New Roman"/>
          <w:color w:val="auto"/>
        </w:rPr>
        <w:t>对本专业的兴趣，为未来投身相关领域筑牢根基。</w:t>
      </w:r>
    </w:p>
    <w:p w14:paraId="65D681E0">
      <w:pPr>
        <w:spacing w:line="360" w:lineRule="auto"/>
        <w:ind w:firstLine="480"/>
        <w:rPr>
          <w:rStyle w:val="19"/>
          <w:rFonts w:ascii="Times New Roman" w:hAnsi="Times New Roman" w:cs="Times New Roman"/>
          <w:color w:val="auto"/>
        </w:rPr>
      </w:pPr>
      <w:r>
        <w:rPr>
          <w:rStyle w:val="19"/>
          <w:rFonts w:ascii="Times New Roman" w:hAnsi="Times New Roman" w:cs="Times New Roman"/>
          <w:color w:val="auto"/>
        </w:rPr>
        <w:t>本次模型比赛的主题是</w:t>
      </w:r>
      <w:r>
        <w:rPr>
          <w:kern w:val="0"/>
          <w:szCs w:val="24"/>
          <w:lang w:bidi="ar"/>
        </w:rPr>
        <w:t>近接复合地基条件下基坑支护设计建造</w:t>
      </w:r>
      <w:r>
        <w:rPr>
          <w:rStyle w:val="19"/>
          <w:rFonts w:ascii="Times New Roman" w:hAnsi="Times New Roman" w:cs="Times New Roman"/>
          <w:color w:val="auto"/>
        </w:rPr>
        <w:t>的设计、计算、制作和加载，包括复合地基和基坑支护结构的设计、制作和填埋，然后通过加载试验检验复合地基和支护结构的承载力和变形特性，从而确定复合地基和支护结构的可行性、合理性和科学性。</w:t>
      </w:r>
    </w:p>
    <w:p w14:paraId="63F33810">
      <w:pPr>
        <w:spacing w:line="360" w:lineRule="auto"/>
        <w:ind w:firstLine="480"/>
        <w:rPr>
          <w:rStyle w:val="19"/>
          <w:rFonts w:ascii="Times New Roman" w:hAnsi="Times New Roman" w:cs="Times New Roman"/>
          <w:color w:val="auto"/>
        </w:rPr>
      </w:pPr>
      <w:r>
        <w:rPr>
          <w:rStyle w:val="19"/>
          <w:rFonts w:ascii="Times New Roman" w:hAnsi="Times New Roman" w:cs="Times New Roman"/>
          <w:color w:val="auto"/>
        </w:rPr>
        <w:t>竞赛主要目的如下：</w:t>
      </w:r>
    </w:p>
    <w:p w14:paraId="66FE79C4">
      <w:pPr>
        <w:spacing w:line="360" w:lineRule="auto"/>
        <w:ind w:firstLine="480"/>
        <w:rPr>
          <w:rStyle w:val="19"/>
          <w:rFonts w:ascii="Times New Roman" w:hAnsi="Times New Roman" w:cs="Times New Roman"/>
          <w:color w:val="auto"/>
        </w:rPr>
      </w:pPr>
      <w:r>
        <w:rPr>
          <w:rStyle w:val="19"/>
          <w:rFonts w:ascii="Times New Roman" w:hAnsi="Times New Roman" w:cs="Times New Roman"/>
          <w:color w:val="auto"/>
        </w:rPr>
        <w:t>（1）要求学生运用专业知识与科学方法，对模型各组成部件的力学参数进行测试，然后以这些实测数据为基础，完成整个模型体系的承载能力理论计算，从而增强学生对地下空间结构体系的理解；</w:t>
      </w:r>
    </w:p>
    <w:p w14:paraId="4B923562">
      <w:pPr>
        <w:spacing w:line="360" w:lineRule="auto"/>
        <w:ind w:firstLine="480"/>
        <w:rPr>
          <w:rStyle w:val="19"/>
          <w:rFonts w:ascii="Times New Roman" w:hAnsi="Times New Roman" w:cs="Times New Roman"/>
          <w:color w:val="auto"/>
        </w:rPr>
      </w:pPr>
      <w:r>
        <w:rPr>
          <w:rStyle w:val="19"/>
          <w:rFonts w:ascii="Times New Roman" w:hAnsi="Times New Roman" w:cs="Times New Roman"/>
          <w:color w:val="auto"/>
        </w:rPr>
        <w:t>（2）学生需在有限的资源条件下充分发挥创造力，以追求成本效益的最大化，力求以最少的白卡纸材料，完成</w:t>
      </w:r>
      <w:r>
        <w:rPr>
          <w:rStyle w:val="19"/>
          <w:rFonts w:hint="eastAsia" w:cs="Times New Roman"/>
          <w:color w:val="auto"/>
          <w:lang w:val="en-US" w:eastAsia="zh-CN"/>
        </w:rPr>
        <w:t>近接</w:t>
      </w:r>
      <w:r>
        <w:rPr>
          <w:rStyle w:val="19"/>
          <w:rFonts w:hint="eastAsia" w:cs="Times New Roman"/>
          <w:color w:val="auto"/>
        </w:rPr>
        <w:t>复合地基条件下基坑支护结构</w:t>
      </w:r>
      <w:r>
        <w:rPr>
          <w:rStyle w:val="19"/>
          <w:rFonts w:ascii="Times New Roman" w:hAnsi="Times New Roman" w:cs="Times New Roman"/>
          <w:color w:val="auto"/>
        </w:rPr>
        <w:t>的合理设计与实物制作；</w:t>
      </w:r>
    </w:p>
    <w:p w14:paraId="4316E0FE">
      <w:pPr>
        <w:spacing w:line="360" w:lineRule="auto"/>
        <w:ind w:firstLine="480"/>
        <w:rPr>
          <w:rStyle w:val="19"/>
          <w:rFonts w:ascii="Times New Roman" w:hAnsi="Times New Roman" w:cs="Times New Roman"/>
          <w:color w:val="auto"/>
        </w:rPr>
      </w:pPr>
      <w:r>
        <w:rPr>
          <w:rStyle w:val="19"/>
          <w:rFonts w:ascii="Times New Roman" w:hAnsi="Times New Roman" w:cs="Times New Roman"/>
          <w:color w:val="auto"/>
        </w:rPr>
        <w:t>（3）为学生提供全方位锻炼能力的平台</w:t>
      </w:r>
      <w:r>
        <w:rPr>
          <w:rStyle w:val="19"/>
          <w:rFonts w:hint="eastAsia" w:cs="Times New Roman"/>
          <w:color w:val="auto"/>
          <w:lang w:eastAsia="zh-CN"/>
        </w:rPr>
        <w:t>，</w:t>
      </w:r>
      <w:r>
        <w:rPr>
          <w:rStyle w:val="19"/>
          <w:rFonts w:ascii="Times New Roman" w:hAnsi="Times New Roman" w:cs="Times New Roman"/>
          <w:color w:val="auto"/>
        </w:rPr>
        <w:t>在应对复杂的设计与制作任务时，需要突破常规思维，提出新颖的结构设计理念与制作方法，从而锻炼学生的创新能力；在设计方案的构思、优化与细化过程中，需要系统整合各专业要素，从而提升学生运用专业知识进行系统性设计的能力；在材料的准备加工和模型搭建过程中，需要全程动手操作，从而增强学生的实践动手能力；在整个竞赛过程中，需要团队成员通力合作，从而提高学生的团队协作能力；</w:t>
      </w:r>
    </w:p>
    <w:p w14:paraId="5FC25BCB">
      <w:pPr>
        <w:spacing w:line="360" w:lineRule="auto"/>
        <w:ind w:firstLine="480"/>
        <w:rPr>
          <w:rStyle w:val="19"/>
          <w:rFonts w:ascii="Times New Roman" w:hAnsi="Times New Roman" w:cs="Times New Roman"/>
          <w:color w:val="auto"/>
        </w:rPr>
      </w:pPr>
      <w:r>
        <w:rPr>
          <w:rStyle w:val="19"/>
          <w:rFonts w:ascii="Times New Roman" w:hAnsi="Times New Roman" w:cs="Times New Roman"/>
          <w:color w:val="auto"/>
        </w:rPr>
        <w:t>（4）来自不同高校的学生相互切磋专业技艺、交流学习经验，有力促进不同高校间专业知识的传播共享以及创新思维的交流碰撞。</w:t>
      </w:r>
    </w:p>
    <w:p w14:paraId="4A065A90">
      <w:pPr>
        <w:widowControl/>
        <w:spacing w:after="156" w:afterLines="50"/>
        <w:ind w:firstLine="0" w:firstLineChars="0"/>
        <w:jc w:val="left"/>
        <w:outlineLvl w:val="0"/>
        <w:rPr>
          <w:b/>
          <w:bCs/>
        </w:rPr>
      </w:pPr>
      <w:r>
        <w:rPr>
          <w:b/>
          <w:bCs/>
          <w:kern w:val="0"/>
          <w:sz w:val="32"/>
          <w:szCs w:val="32"/>
          <w:lang w:bidi="ar"/>
        </w:rPr>
        <w:t>三、参赛对象及要求</w:t>
      </w:r>
    </w:p>
    <w:p w14:paraId="3761815E">
      <w:pPr>
        <w:spacing w:line="360" w:lineRule="auto"/>
        <w:ind w:firstLine="480"/>
        <w:rPr>
          <w:rStyle w:val="19"/>
          <w:rFonts w:ascii="Times New Roman" w:hAnsi="Times New Roman" w:cs="Times New Roman"/>
          <w:color w:val="auto"/>
        </w:rPr>
      </w:pPr>
      <w:r>
        <w:rPr>
          <w:rStyle w:val="19"/>
          <w:rFonts w:ascii="Times New Roman" w:hAnsi="Times New Roman" w:cs="Times New Roman"/>
          <w:color w:val="auto"/>
        </w:rPr>
        <w:t>参赛高校应通过校级选拔赛择优推荐1~2支参赛队伍参加本次比赛，具体要求如下：</w:t>
      </w:r>
    </w:p>
    <w:p w14:paraId="18494D4D">
      <w:pPr>
        <w:spacing w:line="360" w:lineRule="auto"/>
        <w:ind w:firstLine="480"/>
        <w:rPr>
          <w:rStyle w:val="19"/>
          <w:rFonts w:ascii="Times New Roman" w:hAnsi="Times New Roman" w:cs="Times New Roman"/>
          <w:color w:val="auto"/>
        </w:rPr>
      </w:pPr>
      <w:r>
        <w:rPr>
          <w:rStyle w:val="19"/>
          <w:rFonts w:ascii="Times New Roman" w:hAnsi="Times New Roman" w:cs="Times New Roman"/>
          <w:color w:val="auto"/>
        </w:rPr>
        <w:t>（1）参赛学生队长必须是城市地下空间工程专业或土木工程专业地下方向的在校学生，参赛学生队员必须是在校学生，每支参赛队伍成员不得超过3人（包括队长1名、队员2名），并以学校名义报名参赛，同一学生只能参加1支队伍；参赛队伍成员及指导教师名单确定后不得更改；</w:t>
      </w:r>
    </w:p>
    <w:p w14:paraId="1C477026">
      <w:pPr>
        <w:spacing w:line="360" w:lineRule="auto"/>
        <w:ind w:firstLine="480"/>
        <w:rPr>
          <w:rStyle w:val="19"/>
          <w:rFonts w:ascii="Times New Roman" w:hAnsi="Times New Roman" w:cs="Times New Roman"/>
          <w:color w:val="auto"/>
        </w:rPr>
      </w:pPr>
      <w:r>
        <w:rPr>
          <w:rStyle w:val="19"/>
          <w:rFonts w:ascii="Times New Roman" w:hAnsi="Times New Roman" w:cs="Times New Roman"/>
          <w:color w:val="auto"/>
        </w:rPr>
        <w:t>（2）每支参赛队伍的指导教师1~2名，必须为被推荐作品作者所在院校的正式教师，且是已注册的中国岩石力学与工程学会会员。</w:t>
      </w:r>
    </w:p>
    <w:p w14:paraId="075CDF68">
      <w:pPr>
        <w:spacing w:line="360" w:lineRule="auto"/>
        <w:ind w:firstLine="480"/>
        <w:rPr>
          <w:rStyle w:val="19"/>
          <w:rFonts w:ascii="Times New Roman" w:hAnsi="Times New Roman" w:cs="Times New Roman"/>
          <w:color w:val="auto"/>
        </w:rPr>
      </w:pPr>
      <w:r>
        <w:rPr>
          <w:rStyle w:val="19"/>
          <w:rFonts w:ascii="Times New Roman" w:hAnsi="Times New Roman" w:cs="Times New Roman"/>
          <w:color w:val="auto"/>
        </w:rPr>
        <w:t>（3）每支参赛队伍只能提交1份作品；</w:t>
      </w:r>
    </w:p>
    <w:p w14:paraId="119F6CC3">
      <w:pPr>
        <w:spacing w:line="360" w:lineRule="auto"/>
        <w:ind w:firstLine="480"/>
        <w:rPr>
          <w:rStyle w:val="19"/>
          <w:rFonts w:ascii="Times New Roman" w:hAnsi="Times New Roman" w:cs="Times New Roman"/>
          <w:color w:val="auto"/>
        </w:rPr>
      </w:pPr>
      <w:r>
        <w:rPr>
          <w:rStyle w:val="19"/>
          <w:rFonts w:ascii="Times New Roman" w:hAnsi="Times New Roman" w:cs="Times New Roman"/>
          <w:color w:val="auto"/>
        </w:rPr>
        <w:t>（4）比赛前，由各参赛队队长随机抽取编号，该编号为模型制作期间座位号、作品编号及加载顺序号。</w:t>
      </w:r>
    </w:p>
    <w:p w14:paraId="16FA358A">
      <w:pPr>
        <w:widowControl/>
        <w:spacing w:after="156" w:afterLines="50"/>
        <w:ind w:firstLine="0" w:firstLineChars="0"/>
        <w:jc w:val="left"/>
        <w:outlineLvl w:val="0"/>
        <w:rPr>
          <w:b/>
          <w:bCs/>
        </w:rPr>
      </w:pPr>
      <w:r>
        <w:rPr>
          <w:b/>
          <w:bCs/>
          <w:kern w:val="0"/>
          <w:sz w:val="32"/>
          <w:szCs w:val="32"/>
          <w:lang w:bidi="ar"/>
        </w:rPr>
        <w:t>四、竞赛内容</w:t>
      </w:r>
    </w:p>
    <w:p w14:paraId="60FD0E7F">
      <w:pPr>
        <w:widowControl/>
        <w:spacing w:line="360" w:lineRule="auto"/>
        <w:ind w:firstLine="480"/>
        <w:jc w:val="left"/>
        <w:rPr>
          <w:rStyle w:val="19"/>
          <w:rFonts w:ascii="Times New Roman" w:hAnsi="Times New Roman" w:cs="Times New Roman"/>
          <w:color w:val="auto"/>
        </w:rPr>
      </w:pPr>
      <w:r>
        <w:rPr>
          <w:rStyle w:val="19"/>
          <w:rFonts w:ascii="Times New Roman" w:hAnsi="Times New Roman" w:cs="Times New Roman"/>
          <w:color w:val="auto"/>
        </w:rPr>
        <w:t>本届模型竞赛的主要内容包括：</w:t>
      </w:r>
    </w:p>
    <w:p w14:paraId="36414E37">
      <w:pPr>
        <w:widowControl/>
        <w:spacing w:line="360" w:lineRule="auto"/>
        <w:ind w:firstLine="480"/>
        <w:jc w:val="left"/>
        <w:rPr>
          <w:rStyle w:val="19"/>
          <w:rFonts w:ascii="Times New Roman" w:hAnsi="Times New Roman" w:cs="Times New Roman"/>
          <w:color w:val="auto"/>
        </w:rPr>
      </w:pPr>
      <w:r>
        <w:rPr>
          <w:rStyle w:val="19"/>
          <w:rFonts w:ascii="Times New Roman" w:hAnsi="Times New Roman" w:cs="Times New Roman"/>
          <w:color w:val="auto"/>
        </w:rPr>
        <w:t>（1）</w:t>
      </w:r>
      <w:r>
        <w:rPr>
          <w:kern w:val="0"/>
          <w:szCs w:val="24"/>
          <w:lang w:bidi="ar"/>
        </w:rPr>
        <w:t>复合地基和基坑支护</w:t>
      </w:r>
      <w:r>
        <w:rPr>
          <w:rStyle w:val="19"/>
          <w:rFonts w:ascii="Times New Roman" w:hAnsi="Times New Roman" w:cs="Times New Roman"/>
          <w:color w:val="auto"/>
        </w:rPr>
        <w:t>模型的设计与计算；</w:t>
      </w:r>
    </w:p>
    <w:p w14:paraId="0B66D083">
      <w:pPr>
        <w:widowControl/>
        <w:spacing w:line="360" w:lineRule="auto"/>
        <w:ind w:firstLine="480"/>
        <w:jc w:val="left"/>
        <w:rPr>
          <w:rStyle w:val="19"/>
          <w:rFonts w:ascii="Times New Roman" w:hAnsi="Times New Roman" w:cs="Times New Roman"/>
          <w:color w:val="auto"/>
        </w:rPr>
      </w:pPr>
      <w:r>
        <w:rPr>
          <w:rStyle w:val="19"/>
          <w:rFonts w:ascii="Times New Roman" w:hAnsi="Times New Roman" w:cs="Times New Roman"/>
          <w:color w:val="auto"/>
        </w:rPr>
        <w:t>（2）</w:t>
      </w:r>
      <w:r>
        <w:rPr>
          <w:kern w:val="0"/>
          <w:szCs w:val="24"/>
          <w:lang w:bidi="ar"/>
        </w:rPr>
        <w:t>复合地基和基坑支护</w:t>
      </w:r>
      <w:r>
        <w:rPr>
          <w:rStyle w:val="19"/>
          <w:rFonts w:ascii="Times New Roman" w:hAnsi="Times New Roman" w:cs="Times New Roman"/>
          <w:color w:val="auto"/>
        </w:rPr>
        <w:t>模型的现场制作；</w:t>
      </w:r>
    </w:p>
    <w:p w14:paraId="4D2413A2">
      <w:pPr>
        <w:widowControl/>
        <w:spacing w:line="360" w:lineRule="auto"/>
        <w:ind w:firstLine="480"/>
        <w:jc w:val="left"/>
        <w:rPr>
          <w:rStyle w:val="19"/>
          <w:rFonts w:ascii="Times New Roman" w:hAnsi="Times New Roman" w:cs="Times New Roman"/>
          <w:color w:val="auto"/>
        </w:rPr>
      </w:pPr>
      <w:r>
        <w:rPr>
          <w:rStyle w:val="19"/>
          <w:rFonts w:ascii="Times New Roman" w:hAnsi="Times New Roman" w:cs="Times New Roman"/>
          <w:color w:val="auto"/>
        </w:rPr>
        <w:t>（3）</w:t>
      </w:r>
      <w:r>
        <w:rPr>
          <w:kern w:val="0"/>
          <w:szCs w:val="24"/>
          <w:lang w:bidi="ar"/>
        </w:rPr>
        <w:t>近接复合地基条件下基坑支护模型</w:t>
      </w:r>
      <w:r>
        <w:rPr>
          <w:rStyle w:val="19"/>
          <w:rFonts w:ascii="Times New Roman" w:hAnsi="Times New Roman" w:cs="Times New Roman"/>
          <w:color w:val="auto"/>
        </w:rPr>
        <w:t>现场加载。</w:t>
      </w:r>
    </w:p>
    <w:p w14:paraId="08AFA198">
      <w:pPr>
        <w:widowControl/>
        <w:spacing w:after="156" w:afterLines="50"/>
        <w:ind w:firstLine="0" w:firstLineChars="0"/>
        <w:jc w:val="left"/>
        <w:outlineLvl w:val="0"/>
        <w:rPr>
          <w:b/>
          <w:bCs/>
        </w:rPr>
      </w:pPr>
      <w:r>
        <w:rPr>
          <w:b/>
          <w:bCs/>
          <w:kern w:val="0"/>
          <w:sz w:val="32"/>
          <w:szCs w:val="32"/>
          <w:lang w:bidi="ar"/>
        </w:rPr>
        <w:t>五、结构模型制作</w:t>
      </w:r>
    </w:p>
    <w:p w14:paraId="3BDBFC12">
      <w:pPr>
        <w:spacing w:line="360" w:lineRule="auto"/>
        <w:ind w:firstLine="241" w:firstLineChars="100"/>
        <w:outlineLvl w:val="1"/>
        <w:rPr>
          <w:rStyle w:val="19"/>
          <w:rFonts w:ascii="Times New Roman" w:hAnsi="Times New Roman" w:cs="Times New Roman"/>
          <w:b/>
          <w:bCs/>
          <w:color w:val="auto"/>
        </w:rPr>
      </w:pPr>
      <w:r>
        <w:rPr>
          <w:rStyle w:val="19"/>
          <w:rFonts w:ascii="Times New Roman" w:hAnsi="Times New Roman" w:cs="Times New Roman"/>
          <w:b/>
          <w:bCs/>
          <w:color w:val="auto"/>
        </w:rPr>
        <w:t>1. 材料要求</w:t>
      </w:r>
    </w:p>
    <w:p w14:paraId="68C32E15">
      <w:pPr>
        <w:spacing w:line="360" w:lineRule="auto"/>
        <w:ind w:firstLine="482"/>
        <w:rPr>
          <w:rStyle w:val="19"/>
          <w:rFonts w:ascii="Times New Roman" w:hAnsi="Times New Roman" w:cs="Times New Roman"/>
          <w:b/>
          <w:bCs/>
          <w:color w:val="auto"/>
        </w:rPr>
      </w:pPr>
      <w:r>
        <w:rPr>
          <w:rStyle w:val="19"/>
          <w:rFonts w:ascii="Times New Roman" w:hAnsi="Times New Roman" w:cs="Times New Roman"/>
          <w:b/>
          <w:bCs/>
          <w:color w:val="auto"/>
        </w:rPr>
        <w:t>举办方提供以下设备与材料（比赛前</w:t>
      </w:r>
      <w:r>
        <w:rPr>
          <w:rStyle w:val="20"/>
          <w:rFonts w:ascii="Times New Roman" w:hAnsi="Times New Roman" w:cs="Times New Roman"/>
          <w:b/>
          <w:bCs/>
          <w:color w:val="auto"/>
        </w:rPr>
        <w:t>15</w:t>
      </w:r>
      <w:r>
        <w:rPr>
          <w:rStyle w:val="19"/>
          <w:rFonts w:ascii="Times New Roman" w:hAnsi="Times New Roman" w:cs="Times New Roman"/>
          <w:b/>
          <w:bCs/>
          <w:color w:val="auto"/>
        </w:rPr>
        <w:t>分钟由参赛代表队检查确认）：</w:t>
      </w:r>
    </w:p>
    <w:p w14:paraId="19A0694C">
      <w:pPr>
        <w:spacing w:line="360" w:lineRule="auto"/>
        <w:ind w:firstLine="480"/>
        <w:rPr>
          <w:rStyle w:val="19"/>
          <w:rFonts w:ascii="Times New Roman" w:hAnsi="Times New Roman" w:cs="Times New Roman"/>
          <w:color w:val="auto"/>
        </w:rPr>
      </w:pPr>
      <w:r>
        <w:rPr>
          <w:rStyle w:val="19"/>
          <w:rFonts w:ascii="Times New Roman" w:hAnsi="Times New Roman" w:cs="Times New Roman"/>
          <w:color w:val="auto"/>
        </w:rPr>
        <w:t>（</w:t>
      </w:r>
      <w:r>
        <w:rPr>
          <w:rStyle w:val="20"/>
          <w:rFonts w:ascii="Times New Roman" w:hAnsi="Times New Roman" w:cs="Times New Roman"/>
          <w:color w:val="auto"/>
        </w:rPr>
        <w:t>1</w:t>
      </w:r>
      <w:r>
        <w:rPr>
          <w:rStyle w:val="19"/>
          <w:rFonts w:ascii="Times New Roman" w:hAnsi="Times New Roman" w:cs="Times New Roman"/>
          <w:color w:val="auto"/>
        </w:rPr>
        <w:t>）由亚克力板制作的模型箱，内壁尺寸为</w:t>
      </w:r>
      <w:r>
        <w:rPr>
          <w:rStyle w:val="20"/>
          <w:rFonts w:ascii="Times New Roman" w:hAnsi="Times New Roman" w:cs="Times New Roman"/>
          <w:color w:val="auto"/>
        </w:rPr>
        <w:t>65cm×45cm×65cm</w:t>
      </w:r>
      <w:r>
        <w:rPr>
          <w:rStyle w:val="19"/>
          <w:rFonts w:ascii="Times New Roman" w:hAnsi="Times New Roman" w:cs="Times New Roman"/>
          <w:color w:val="auto"/>
        </w:rPr>
        <w:t>（长</w:t>
      </w:r>
      <w:r>
        <w:rPr>
          <w:rStyle w:val="20"/>
          <w:rFonts w:ascii="Times New Roman" w:hAnsi="Times New Roman" w:cs="Times New Roman"/>
          <w:color w:val="auto"/>
        </w:rPr>
        <w:t>×</w:t>
      </w:r>
      <w:r>
        <w:rPr>
          <w:rStyle w:val="19"/>
          <w:rFonts w:ascii="Times New Roman" w:hAnsi="Times New Roman" w:cs="Times New Roman"/>
          <w:color w:val="auto"/>
        </w:rPr>
        <w:t>宽</w:t>
      </w:r>
      <w:r>
        <w:rPr>
          <w:rStyle w:val="20"/>
          <w:rFonts w:ascii="Times New Roman" w:hAnsi="Times New Roman" w:cs="Times New Roman"/>
          <w:color w:val="auto"/>
        </w:rPr>
        <w:t>×</w:t>
      </w:r>
      <w:r>
        <w:rPr>
          <w:rStyle w:val="19"/>
          <w:rFonts w:ascii="Times New Roman" w:hAnsi="Times New Roman" w:cs="Times New Roman"/>
          <w:color w:val="auto"/>
        </w:rPr>
        <w:t>高），侧板及底板板厚均为1cm，如图</w:t>
      </w:r>
      <w:r>
        <w:rPr>
          <w:rStyle w:val="20"/>
          <w:rFonts w:ascii="Times New Roman" w:hAnsi="Times New Roman" w:cs="Times New Roman"/>
          <w:color w:val="auto"/>
        </w:rPr>
        <w:t>2</w:t>
      </w:r>
      <w:r>
        <w:rPr>
          <w:rStyle w:val="19"/>
          <w:rFonts w:ascii="Times New Roman" w:hAnsi="Times New Roman" w:cs="Times New Roman"/>
          <w:color w:val="auto"/>
        </w:rPr>
        <w:t>所示；</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27B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top w:val="nil"/>
              <w:left w:val="nil"/>
              <w:bottom w:val="nil"/>
              <w:right w:val="nil"/>
            </w:tcBorders>
          </w:tcPr>
          <w:p w14:paraId="70F961A4">
            <w:pPr>
              <w:ind w:firstLine="0" w:firstLineChars="0"/>
              <w:jc w:val="center"/>
              <w:rPr>
                <w:szCs w:val="24"/>
              </w:rPr>
            </w:pPr>
            <w:r>
              <w:rPr>
                <w:szCs w:val="24"/>
              </w:rPr>
              <w:object>
                <v:shape id="_x0000_i1026" o:spt="75" type="#_x0000_t75" style="height:237.75pt;width:246.75pt;" o:ole="t" filled="f" o:preferrelative="t" stroked="f" coordsize="21600,21600">
                  <v:path/>
                  <v:fill on="f" focussize="0,0"/>
                  <v:stroke on="f" joinstyle="miter"/>
                  <v:imagedata r:id="rId15" o:title=""/>
                  <o:lock v:ext="edit" aspectratio="f"/>
                  <w10:wrap type="none"/>
                  <w10:anchorlock/>
                </v:shape>
                <o:OLEObject Type="Embed" ProgID="Visio.Drawing.11" ShapeID="_x0000_i1026" DrawAspect="Content" ObjectID="_1468075726" r:id="rId14">
                  <o:LockedField>false</o:LockedField>
                </o:OLEObject>
              </w:object>
            </w:r>
          </w:p>
        </w:tc>
      </w:tr>
      <w:tr w14:paraId="18B9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top w:val="nil"/>
              <w:left w:val="nil"/>
              <w:bottom w:val="nil"/>
              <w:right w:val="nil"/>
            </w:tcBorders>
          </w:tcPr>
          <w:p w14:paraId="72555AE2">
            <w:pPr>
              <w:ind w:firstLine="0" w:firstLineChars="0"/>
              <w:jc w:val="center"/>
              <w:rPr>
                <w:szCs w:val="24"/>
              </w:rPr>
            </w:pPr>
            <w:r>
              <w:rPr>
                <w:b/>
                <w:bCs/>
                <w:sz w:val="21"/>
                <w:szCs w:val="21"/>
              </w:rPr>
              <w:t>图2 模型箱内尺寸示意图</w:t>
            </w:r>
          </w:p>
        </w:tc>
      </w:tr>
    </w:tbl>
    <w:p w14:paraId="058870CA">
      <w:pPr>
        <w:numPr>
          <w:ilvl w:val="0"/>
          <w:numId w:val="1"/>
        </w:numPr>
        <w:spacing w:line="360" w:lineRule="auto"/>
        <w:ind w:firstLine="480"/>
        <w:rPr>
          <w:szCs w:val="24"/>
        </w:rPr>
      </w:pPr>
      <w:r>
        <w:rPr>
          <w:szCs w:val="24"/>
        </w:rPr>
        <w:t>原始地基材料：EPDM 橡胶颗粒（粒径0.5-2mm）；</w:t>
      </w:r>
    </w:p>
    <w:p w14:paraId="10F687DE">
      <w:pPr>
        <w:numPr>
          <w:ilvl w:val="0"/>
          <w:numId w:val="1"/>
        </w:numPr>
        <w:spacing w:line="360" w:lineRule="auto"/>
        <w:ind w:firstLine="480"/>
        <w:rPr>
          <w:szCs w:val="24"/>
        </w:rPr>
      </w:pPr>
      <w:r>
        <w:rPr>
          <w:szCs w:val="24"/>
        </w:rPr>
        <w:t>白卡纸，规格：230g/m</w:t>
      </w:r>
      <w:r>
        <w:rPr>
          <w:szCs w:val="24"/>
          <w:vertAlign w:val="superscript"/>
        </w:rPr>
        <w:t>2</w:t>
      </w:r>
      <w:r>
        <w:rPr>
          <w:szCs w:val="24"/>
        </w:rPr>
        <w:t>，尺寸：787mm×1092mm；</w:t>
      </w:r>
    </w:p>
    <w:p w14:paraId="57A4EC09">
      <w:pPr>
        <w:numPr>
          <w:ilvl w:val="0"/>
          <w:numId w:val="1"/>
        </w:numPr>
        <w:spacing w:line="360" w:lineRule="auto"/>
        <w:ind w:firstLine="468"/>
        <w:rPr>
          <w:szCs w:val="24"/>
        </w:rPr>
      </w:pPr>
      <w:r>
        <w:rPr>
          <w:szCs w:val="24"/>
        </w:rPr>
        <w:t>速干白乳胶；</w:t>
      </w:r>
    </w:p>
    <w:p w14:paraId="628EABE5">
      <w:pPr>
        <w:numPr>
          <w:ilvl w:val="0"/>
          <w:numId w:val="1"/>
        </w:numPr>
        <w:spacing w:line="360" w:lineRule="auto"/>
        <w:ind w:firstLine="480"/>
        <w:rPr>
          <w:szCs w:val="24"/>
        </w:rPr>
      </w:pPr>
      <w:r>
        <w:rPr>
          <w:szCs w:val="24"/>
        </w:rPr>
        <w:t>剪刀、美工刀</w:t>
      </w:r>
      <w:r>
        <w:rPr>
          <w:rFonts w:hint="eastAsia"/>
          <w:szCs w:val="24"/>
          <w:lang w:eastAsia="zh-CN"/>
        </w:rPr>
        <w:t>、</w:t>
      </w:r>
      <w:r>
        <w:rPr>
          <w:rFonts w:hint="eastAsia"/>
          <w:szCs w:val="24"/>
          <w:lang w:val="en-US" w:eastAsia="zh-CN"/>
        </w:rPr>
        <w:t>数显游标卡尺</w:t>
      </w:r>
      <w:r>
        <w:rPr>
          <w:szCs w:val="24"/>
        </w:rPr>
        <w:t>；</w:t>
      </w:r>
    </w:p>
    <w:p w14:paraId="6B21DA39">
      <w:pPr>
        <w:numPr>
          <w:ilvl w:val="0"/>
          <w:numId w:val="1"/>
        </w:numPr>
        <w:spacing w:line="360" w:lineRule="auto"/>
        <w:ind w:firstLine="480"/>
        <w:rPr>
          <w:szCs w:val="24"/>
          <w:shd w:val="clear" w:color="FFFFFF" w:fill="D9D9D9"/>
        </w:rPr>
      </w:pPr>
      <w:r>
        <w:rPr>
          <w:szCs w:val="24"/>
        </w:rPr>
        <w:t>填和挖橡胶颗粒的工具、装料桶；</w:t>
      </w:r>
    </w:p>
    <w:p w14:paraId="43A90534">
      <w:pPr>
        <w:numPr>
          <w:ilvl w:val="0"/>
          <w:numId w:val="1"/>
        </w:numPr>
        <w:spacing w:line="360" w:lineRule="auto"/>
        <w:ind w:firstLine="480"/>
        <w:rPr>
          <w:szCs w:val="24"/>
          <w:shd w:val="clear" w:color="FFFFFF" w:fill="D9D9D9"/>
        </w:rPr>
      </w:pPr>
      <w:r>
        <w:rPr>
          <w:szCs w:val="24"/>
        </w:rPr>
        <w:t>百分表、加载砝码；</w:t>
      </w:r>
    </w:p>
    <w:p w14:paraId="4B246FCF">
      <w:pPr>
        <w:numPr>
          <w:ilvl w:val="0"/>
          <w:numId w:val="1"/>
        </w:numPr>
        <w:spacing w:line="360" w:lineRule="auto"/>
        <w:ind w:firstLine="480"/>
        <w:rPr>
          <w:szCs w:val="24"/>
          <w:shd w:val="clear" w:color="FFFFFF" w:fill="D9D9D9"/>
        </w:rPr>
      </w:pPr>
      <w:r>
        <w:rPr>
          <w:kern w:val="0"/>
          <w:szCs w:val="24"/>
          <w:lang w:bidi="ar"/>
        </w:rPr>
        <w:t>加载板一块（35cm×35cm，用于放置砝码加载和百分表量测，厚</w:t>
      </w:r>
      <w:r>
        <w:rPr>
          <w:rFonts w:hint="eastAsia"/>
          <w:kern w:val="0"/>
          <w:szCs w:val="24"/>
          <w:lang w:bidi="ar"/>
        </w:rPr>
        <w:t>1</w:t>
      </w:r>
      <w:r>
        <w:rPr>
          <w:kern w:val="0"/>
          <w:szCs w:val="24"/>
          <w:lang w:bidi="ar"/>
        </w:rPr>
        <w:t>cm，材质为有机玻璃）。</w:t>
      </w:r>
    </w:p>
    <w:p w14:paraId="1295C641">
      <w:pPr>
        <w:spacing w:line="360" w:lineRule="auto"/>
        <w:ind w:firstLine="482"/>
        <w:rPr>
          <w:b/>
          <w:bCs/>
          <w:szCs w:val="24"/>
        </w:rPr>
      </w:pPr>
      <w:r>
        <w:rPr>
          <w:b/>
          <w:bCs/>
          <w:szCs w:val="24"/>
        </w:rPr>
        <w:t>参赛代表队自备的材料（比赛前</w:t>
      </w:r>
      <w:r>
        <w:rPr>
          <w:rFonts w:eastAsia="TimesNewRomanPSMT"/>
          <w:b/>
          <w:bCs/>
          <w:szCs w:val="24"/>
        </w:rPr>
        <w:t>15</w:t>
      </w:r>
      <w:r>
        <w:rPr>
          <w:b/>
          <w:bCs/>
          <w:szCs w:val="24"/>
        </w:rPr>
        <w:t>分钟由评审小组检查确认）：</w:t>
      </w:r>
    </w:p>
    <w:p w14:paraId="57BF9213">
      <w:pPr>
        <w:spacing w:line="360" w:lineRule="auto"/>
        <w:ind w:firstLine="480"/>
        <w:rPr>
          <w:szCs w:val="24"/>
        </w:rPr>
      </w:pPr>
      <w:r>
        <w:rPr>
          <w:szCs w:val="24"/>
        </w:rPr>
        <w:t>（</w:t>
      </w:r>
      <w:r>
        <w:rPr>
          <w:rFonts w:eastAsia="TimesNewRomanPSMT"/>
          <w:szCs w:val="24"/>
        </w:rPr>
        <w:t>1</w:t>
      </w:r>
      <w:r>
        <w:rPr>
          <w:szCs w:val="24"/>
        </w:rPr>
        <w:t>）尺子（型式不限）；</w:t>
      </w:r>
    </w:p>
    <w:p w14:paraId="6B53BDA3">
      <w:pPr>
        <w:spacing w:line="360" w:lineRule="auto"/>
        <w:ind w:firstLine="480"/>
        <w:rPr>
          <w:szCs w:val="24"/>
        </w:rPr>
      </w:pPr>
      <w:r>
        <w:rPr>
          <w:szCs w:val="24"/>
        </w:rPr>
        <w:t>（</w:t>
      </w:r>
      <w:r>
        <w:rPr>
          <w:rFonts w:eastAsia="TimesNewRomanPSMT"/>
          <w:szCs w:val="24"/>
        </w:rPr>
        <w:t>2</w:t>
      </w:r>
      <w:r>
        <w:rPr>
          <w:szCs w:val="24"/>
        </w:rPr>
        <w:t>）标记用的笔（型式不限）；</w:t>
      </w:r>
    </w:p>
    <w:p w14:paraId="069F1526">
      <w:pPr>
        <w:spacing w:line="360" w:lineRule="auto"/>
        <w:ind w:firstLine="480"/>
        <w:rPr>
          <w:szCs w:val="24"/>
        </w:rPr>
      </w:pPr>
      <w:r>
        <w:rPr>
          <w:szCs w:val="24"/>
        </w:rPr>
        <w:t>（</w:t>
      </w:r>
      <w:r>
        <w:rPr>
          <w:rFonts w:eastAsia="TimesNewRomanPSMT"/>
          <w:szCs w:val="24"/>
        </w:rPr>
        <w:t>3</w:t>
      </w:r>
      <w:r>
        <w:rPr>
          <w:szCs w:val="24"/>
        </w:rPr>
        <w:t>）经评审小组确认的自制辅助工具，如辅助制作结构的工具等；</w:t>
      </w:r>
    </w:p>
    <w:p w14:paraId="1FFAFAE5">
      <w:pPr>
        <w:spacing w:line="360" w:lineRule="auto"/>
        <w:ind w:firstLine="480"/>
        <w:rPr>
          <w:szCs w:val="24"/>
        </w:rPr>
      </w:pPr>
      <w:r>
        <w:rPr>
          <w:szCs w:val="24"/>
        </w:rPr>
        <w:t>（</w:t>
      </w:r>
      <w:r>
        <w:rPr>
          <w:rFonts w:eastAsia="TimesNewRomanPSMT"/>
          <w:szCs w:val="24"/>
        </w:rPr>
        <w:t>4</w:t>
      </w:r>
      <w:r>
        <w:rPr>
          <w:szCs w:val="24"/>
        </w:rPr>
        <w:t>）记录本、图纸、计算器等辅助材料；</w:t>
      </w:r>
    </w:p>
    <w:p w14:paraId="7A77DD7B">
      <w:pPr>
        <w:spacing w:line="360" w:lineRule="auto"/>
        <w:ind w:firstLine="480"/>
        <w:rPr>
          <w:rStyle w:val="19"/>
          <w:rFonts w:ascii="Times New Roman" w:hAnsi="Times New Roman" w:cs="Times New Roman"/>
          <w:color w:val="auto"/>
        </w:rPr>
      </w:pPr>
      <w:r>
        <w:rPr>
          <w:szCs w:val="24"/>
        </w:rPr>
        <w:t>（</w:t>
      </w:r>
      <w:r>
        <w:rPr>
          <w:rFonts w:eastAsia="TimesNewRomanPSMT"/>
          <w:szCs w:val="24"/>
        </w:rPr>
        <w:t>5</w:t>
      </w:r>
      <w:r>
        <w:rPr>
          <w:szCs w:val="24"/>
        </w:rPr>
        <w:t>）其它经评审小组确认可以携带的材料。</w:t>
      </w:r>
    </w:p>
    <w:p w14:paraId="05EA7752">
      <w:pPr>
        <w:spacing w:line="360" w:lineRule="auto"/>
        <w:ind w:firstLine="241" w:firstLineChars="100"/>
        <w:outlineLvl w:val="1"/>
        <w:rPr>
          <w:rStyle w:val="19"/>
          <w:rFonts w:ascii="Times New Roman" w:hAnsi="Times New Roman" w:cs="Times New Roman"/>
          <w:b/>
          <w:bCs/>
          <w:color w:val="auto"/>
        </w:rPr>
      </w:pPr>
      <w:r>
        <w:rPr>
          <w:rStyle w:val="19"/>
          <w:rFonts w:ascii="Times New Roman" w:hAnsi="Times New Roman" w:cs="Times New Roman"/>
          <w:b/>
          <w:bCs/>
          <w:color w:val="auto"/>
        </w:rPr>
        <w:t>2. 模型形式要求</w:t>
      </w:r>
    </w:p>
    <w:p w14:paraId="2B04FC43">
      <w:pPr>
        <w:spacing w:line="360" w:lineRule="auto"/>
        <w:ind w:firstLine="480"/>
        <w:rPr>
          <w:color w:val="auto"/>
          <w:szCs w:val="24"/>
        </w:rPr>
      </w:pPr>
      <w:r>
        <w:rPr>
          <w:szCs w:val="24"/>
        </w:rPr>
        <w:t>（1）支护结构位置示意见图</w:t>
      </w:r>
      <w:r>
        <w:rPr>
          <w:rFonts w:hint="eastAsia"/>
          <w:szCs w:val="24"/>
        </w:rPr>
        <w:t>3(a)</w:t>
      </w:r>
      <w:r>
        <w:rPr>
          <w:szCs w:val="24"/>
        </w:rPr>
        <w:t>和</w:t>
      </w:r>
      <w:r>
        <w:rPr>
          <w:rFonts w:hint="eastAsia"/>
          <w:szCs w:val="24"/>
        </w:rPr>
        <w:t>(b)</w:t>
      </w:r>
      <w:r>
        <w:rPr>
          <w:szCs w:val="24"/>
        </w:rPr>
        <w:t>，包括</w:t>
      </w:r>
      <w:r>
        <w:rPr>
          <w:rFonts w:hint="eastAsia"/>
          <w:szCs w:val="24"/>
        </w:rPr>
        <w:t>支护</w:t>
      </w:r>
      <w:r>
        <w:rPr>
          <w:szCs w:val="24"/>
        </w:rPr>
        <w:t>结构和</w:t>
      </w:r>
      <w:r>
        <w:rPr>
          <w:rFonts w:hint="eastAsia"/>
          <w:szCs w:val="24"/>
        </w:rPr>
        <w:t>复合地基</w:t>
      </w:r>
      <w:r>
        <w:rPr>
          <w:szCs w:val="24"/>
        </w:rPr>
        <w:t>结构两部分</w:t>
      </w:r>
      <w:r>
        <w:rPr>
          <w:rFonts w:hint="eastAsia"/>
          <w:szCs w:val="24"/>
        </w:rPr>
        <w:t>；</w:t>
      </w:r>
      <w:r>
        <w:rPr>
          <w:szCs w:val="24"/>
        </w:rPr>
        <w:t>挡土结构需要事先</w:t>
      </w:r>
      <w:r>
        <w:rPr>
          <w:rFonts w:hint="eastAsia"/>
          <w:szCs w:val="24"/>
        </w:rPr>
        <w:t>放置于模型箱</w:t>
      </w:r>
      <w:r>
        <w:rPr>
          <w:szCs w:val="24"/>
        </w:rPr>
        <w:t>中。</w:t>
      </w:r>
    </w:p>
    <w:p w14:paraId="2E09EA9A">
      <w:pPr>
        <w:spacing w:line="360" w:lineRule="auto"/>
        <w:ind w:firstLine="480"/>
        <w:rPr>
          <w:color w:val="auto"/>
          <w:szCs w:val="24"/>
        </w:rPr>
      </w:pPr>
      <w:r>
        <w:rPr>
          <w:color w:val="auto"/>
          <w:szCs w:val="24"/>
        </w:rPr>
        <w:t>（2）挡土结构可采用各种的桩墙结构等，具体结构形式不限；挡土结构断面厚度不大于</w:t>
      </w:r>
      <w:r>
        <w:rPr>
          <w:rFonts w:hint="eastAsia"/>
          <w:color w:val="auto"/>
          <w:szCs w:val="24"/>
        </w:rPr>
        <w:t>3</w:t>
      </w:r>
      <w:r>
        <w:rPr>
          <w:color w:val="auto"/>
          <w:szCs w:val="24"/>
        </w:rPr>
        <w:t>cm，两侧和底部不得粘在模型箱壁上。挡土结构内不得填橡胶颗粒，避免形成重力式挡墙。</w:t>
      </w:r>
    </w:p>
    <w:p w14:paraId="62282027">
      <w:pPr>
        <w:spacing w:line="360" w:lineRule="auto"/>
        <w:ind w:firstLine="480"/>
        <w:rPr>
          <w:szCs w:val="24"/>
        </w:rPr>
      </w:pPr>
      <w:r>
        <w:rPr>
          <w:szCs w:val="24"/>
        </w:rPr>
        <w:t>（3）支撑结构形式不限，可以粘在挡土结构上，不得粘在模型箱壁上。</w:t>
      </w:r>
    </w:p>
    <w:p w14:paraId="67DEF9D5">
      <w:pPr>
        <w:spacing w:line="360" w:lineRule="auto"/>
        <w:ind w:firstLine="480"/>
        <w:rPr>
          <w:szCs w:val="24"/>
        </w:rPr>
      </w:pPr>
      <w:r>
        <w:rPr>
          <w:szCs w:val="24"/>
        </w:rPr>
        <w:t>（</w:t>
      </w:r>
      <w:r>
        <w:rPr>
          <w:rFonts w:hint="eastAsia"/>
          <w:szCs w:val="24"/>
        </w:rPr>
        <w:t>4</w:t>
      </w:r>
      <w:r>
        <w:rPr>
          <w:szCs w:val="24"/>
        </w:rPr>
        <w:t>）复合地基形式不限（既包括竖向增强体，又包括水平增强体），但不能将纸张粘贴在模型箱侧壁和挡土结构上；增强体内不得填充橡胶颗粒；增强体建造范围的竖向长度不得大于45cm，且顶部距离土体表面不得小于1cm；水平增强体平面形式不限；增强体材料出现区域均被视为增强体建造范围。</w:t>
      </w:r>
    </w:p>
    <w:p w14:paraId="0F2E10FC">
      <w:pPr>
        <w:spacing w:line="360" w:lineRule="auto"/>
        <w:ind w:firstLine="480"/>
        <w:rPr>
          <w:szCs w:val="24"/>
        </w:rPr>
      </w:pPr>
      <w:r>
        <w:rPr>
          <w:szCs w:val="24"/>
        </w:rPr>
        <w:t>（</w:t>
      </w:r>
      <w:r>
        <w:rPr>
          <w:rFonts w:hint="eastAsia"/>
          <w:szCs w:val="24"/>
        </w:rPr>
        <w:t>5</w:t>
      </w:r>
      <w:r>
        <w:rPr>
          <w:szCs w:val="24"/>
        </w:rPr>
        <w:t>）经评审小组检查不合格的支护模型需改正或重做，重做时间也被计入总的时间；使用材料按重做用料计。</w:t>
      </w:r>
    </w:p>
    <w:p w14:paraId="6554B13A">
      <w:pPr>
        <w:spacing w:line="360" w:lineRule="auto"/>
        <w:ind w:firstLine="480"/>
        <w:rPr>
          <w:szCs w:val="24"/>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F8C1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top w:val="nil"/>
              <w:left w:val="nil"/>
              <w:bottom w:val="nil"/>
              <w:right w:val="nil"/>
            </w:tcBorders>
          </w:tcPr>
          <w:p w14:paraId="7B6F7C07">
            <w:pPr>
              <w:ind w:firstLine="0" w:firstLineChars="0"/>
              <w:jc w:val="center"/>
              <w:rPr>
                <w:szCs w:val="24"/>
              </w:rPr>
            </w:pPr>
            <w:r>
              <w:rPr>
                <w:szCs w:val="24"/>
              </w:rPr>
              <w:object>
                <v:shape id="_x0000_i1027" o:spt="75" type="#_x0000_t75" style="height:258pt;width:386.25pt;" o:ole="t" filled="f" o:preferrelative="t" stroked="f" coordsize="21600,21600">
                  <v:path/>
                  <v:fill on="f" focussize="0,0"/>
                  <v:stroke on="f" joinstyle="miter"/>
                  <v:imagedata r:id="rId17" o:title=""/>
                  <o:lock v:ext="edit" aspectratio="f"/>
                  <w10:wrap type="none"/>
                  <w10:anchorlock/>
                </v:shape>
                <o:OLEObject Type="Embed" ProgID="Visio.Drawing.11" ShapeID="_x0000_i1027" DrawAspect="Content" ObjectID="_1468075727" r:id="rId16">
                  <o:LockedField>false</o:LockedField>
                </o:OLEObject>
              </w:object>
            </w:r>
          </w:p>
        </w:tc>
      </w:tr>
      <w:tr w14:paraId="545F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2" w:type="dxa"/>
            <w:tcBorders>
              <w:top w:val="nil"/>
              <w:left w:val="nil"/>
              <w:bottom w:val="nil"/>
              <w:right w:val="nil"/>
            </w:tcBorders>
          </w:tcPr>
          <w:p w14:paraId="05C040D6">
            <w:pPr>
              <w:ind w:firstLine="0" w:firstLineChars="0"/>
              <w:jc w:val="center"/>
              <w:rPr>
                <w:szCs w:val="24"/>
              </w:rPr>
            </w:pPr>
            <w:r>
              <w:rPr>
                <w:b/>
                <w:bCs/>
                <w:sz w:val="21"/>
                <w:szCs w:val="21"/>
              </w:rPr>
              <w:t>(a) 俯视图</w:t>
            </w:r>
          </w:p>
        </w:tc>
      </w:tr>
      <w:tr w14:paraId="34880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2" w:type="dxa"/>
            <w:tcBorders>
              <w:top w:val="nil"/>
              <w:left w:val="nil"/>
              <w:bottom w:val="nil"/>
              <w:right w:val="nil"/>
            </w:tcBorders>
          </w:tcPr>
          <w:p w14:paraId="64A89597">
            <w:pPr>
              <w:ind w:firstLine="0" w:firstLineChars="0"/>
              <w:jc w:val="center"/>
              <w:rPr>
                <w:b/>
                <w:bCs/>
                <w:sz w:val="21"/>
                <w:szCs w:val="21"/>
              </w:rPr>
            </w:pPr>
            <w:r>
              <w:rPr>
                <w:b/>
                <w:bCs/>
                <w:sz w:val="21"/>
                <w:szCs w:val="21"/>
              </w:rPr>
              <w:object>
                <v:shape id="_x0000_i1028" o:spt="75" type="#_x0000_t75" style="height:283.5pt;width:377.25pt;" o:ole="t" filled="f" o:preferrelative="t" stroked="f" coordsize="21600,21600">
                  <v:path/>
                  <v:fill on="f" focussize="0,0"/>
                  <v:stroke on="f" joinstyle="miter"/>
                  <v:imagedata r:id="rId19" o:title=""/>
                  <o:lock v:ext="edit" aspectratio="f"/>
                  <w10:wrap type="none"/>
                  <w10:anchorlock/>
                </v:shape>
                <o:OLEObject Type="Embed" ProgID="Visio.Drawing.11" ShapeID="_x0000_i1028" DrawAspect="Content" ObjectID="_1468075728" r:id="rId18">
                  <o:LockedField>false</o:LockedField>
                </o:OLEObject>
              </w:object>
            </w:r>
          </w:p>
        </w:tc>
      </w:tr>
      <w:tr w14:paraId="2B5DD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2" w:type="dxa"/>
            <w:tcBorders>
              <w:top w:val="nil"/>
              <w:left w:val="nil"/>
              <w:bottom w:val="nil"/>
              <w:right w:val="nil"/>
            </w:tcBorders>
          </w:tcPr>
          <w:p w14:paraId="0A2DA08E">
            <w:pPr>
              <w:ind w:firstLine="0" w:firstLineChars="0"/>
              <w:jc w:val="center"/>
              <w:rPr>
                <w:b/>
                <w:bCs/>
                <w:sz w:val="21"/>
                <w:szCs w:val="21"/>
              </w:rPr>
            </w:pPr>
            <w:r>
              <w:rPr>
                <w:b/>
                <w:bCs/>
                <w:sz w:val="21"/>
                <w:szCs w:val="21"/>
              </w:rPr>
              <w:t>(b) 剖面图</w:t>
            </w:r>
          </w:p>
        </w:tc>
      </w:tr>
      <w:tr w14:paraId="3902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2" w:type="dxa"/>
            <w:tcBorders>
              <w:top w:val="nil"/>
              <w:left w:val="nil"/>
              <w:bottom w:val="nil"/>
              <w:right w:val="nil"/>
            </w:tcBorders>
          </w:tcPr>
          <w:p w14:paraId="4703053D">
            <w:pPr>
              <w:ind w:firstLine="0" w:firstLineChars="0"/>
              <w:jc w:val="center"/>
              <w:rPr>
                <w:b/>
                <w:bCs/>
                <w:sz w:val="21"/>
                <w:szCs w:val="21"/>
              </w:rPr>
            </w:pPr>
            <w:r>
              <w:rPr>
                <w:b/>
                <w:bCs/>
                <w:sz w:val="21"/>
                <w:szCs w:val="21"/>
              </w:rPr>
              <w:t>图</w:t>
            </w:r>
            <w:r>
              <w:rPr>
                <w:rFonts w:hint="eastAsia"/>
                <w:b/>
                <w:bCs/>
                <w:sz w:val="21"/>
                <w:szCs w:val="21"/>
                <w:lang w:val="en-US" w:eastAsia="zh-CN"/>
              </w:rPr>
              <w:t>3</w:t>
            </w:r>
            <w:r>
              <w:rPr>
                <w:b/>
                <w:bCs/>
                <w:sz w:val="21"/>
                <w:szCs w:val="21"/>
              </w:rPr>
              <w:t xml:space="preserve"> 挡土结构、支撑结构及加载和沉降测量示意图</w:t>
            </w:r>
          </w:p>
        </w:tc>
      </w:tr>
    </w:tbl>
    <w:p w14:paraId="15A61CFD">
      <w:pPr>
        <w:widowControl/>
        <w:spacing w:after="156" w:afterLines="50"/>
        <w:ind w:firstLine="0" w:firstLineChars="0"/>
        <w:jc w:val="left"/>
        <w:outlineLvl w:val="0"/>
      </w:pPr>
      <w:r>
        <w:rPr>
          <w:b/>
          <w:bCs/>
          <w:kern w:val="0"/>
          <w:sz w:val="32"/>
          <w:szCs w:val="32"/>
          <w:lang w:bidi="ar"/>
        </w:rPr>
        <w:t>六、实施方案</w:t>
      </w:r>
    </w:p>
    <w:p w14:paraId="4C154C2D">
      <w:pPr>
        <w:pStyle w:val="15"/>
        <w:spacing w:line="360" w:lineRule="auto"/>
        <w:ind w:firstLine="480" w:firstLineChars="200"/>
        <w:rPr>
          <w:rStyle w:val="19"/>
          <w:rFonts w:ascii="Times New Roman" w:hAnsi="Times New Roman" w:cs="Times New Roman"/>
          <w:color w:val="auto"/>
          <w:kern w:val="2"/>
        </w:rPr>
      </w:pPr>
      <w:r>
        <w:rPr>
          <w:rFonts w:ascii="Times New Roman" w:hAnsi="Times New Roman" w:cs="Times New Roman"/>
          <w:color w:val="auto"/>
          <w:kern w:val="2"/>
        </w:rPr>
        <w:t>本次比赛分初赛和决赛两个阶段。初赛由各高校自行组织，并确定参加决赛的学生代表队。决赛由本次大赛承办方统一组织实施，包括设计计算说明书提交和现场比赛两个环节，设计计算书按要求完成后在规定的时间内提交给承办方，现场比赛包括</w:t>
      </w:r>
      <w:r>
        <w:rPr>
          <w:rFonts w:hint="eastAsia" w:ascii="Times New Roman" w:hAnsi="Times New Roman" w:cs="Times New Roman"/>
          <w:color w:val="auto"/>
          <w:kern w:val="2"/>
        </w:rPr>
        <w:t>复合地基和</w:t>
      </w:r>
      <w:r>
        <w:rPr>
          <w:rFonts w:ascii="Times New Roman" w:hAnsi="Times New Roman" w:cs="Times New Roman"/>
          <w:color w:val="auto"/>
          <w:lang w:bidi="ar"/>
        </w:rPr>
        <w:t>支护结构</w:t>
      </w:r>
      <w:r>
        <w:rPr>
          <w:rFonts w:hint="eastAsia" w:ascii="Times New Roman" w:hAnsi="Times New Roman" w:cs="Times New Roman"/>
          <w:color w:val="auto"/>
          <w:lang w:bidi="ar"/>
        </w:rPr>
        <w:t>的</w:t>
      </w:r>
      <w:r>
        <w:rPr>
          <w:rFonts w:ascii="Times New Roman" w:hAnsi="Times New Roman" w:cs="Times New Roman"/>
          <w:color w:val="auto"/>
          <w:kern w:val="2"/>
        </w:rPr>
        <w:t>模型制作、模</w:t>
      </w:r>
      <w:r>
        <w:rPr>
          <w:rStyle w:val="19"/>
          <w:rFonts w:ascii="Times New Roman" w:hAnsi="Times New Roman" w:cs="Times New Roman"/>
          <w:color w:val="auto"/>
          <w:kern w:val="2"/>
        </w:rPr>
        <w:t>型安装和现场加载三个阶段。</w:t>
      </w:r>
    </w:p>
    <w:p w14:paraId="102FA57B">
      <w:pPr>
        <w:pStyle w:val="15"/>
        <w:spacing w:line="360" w:lineRule="auto"/>
        <w:ind w:firstLine="482" w:firstLineChars="200"/>
        <w:outlineLvl w:val="1"/>
        <w:rPr>
          <w:rStyle w:val="19"/>
          <w:rFonts w:ascii="Times New Roman" w:hAnsi="Times New Roman" w:cs="Times New Roman"/>
          <w:b/>
          <w:bCs/>
          <w:color w:val="auto"/>
          <w:kern w:val="2"/>
        </w:rPr>
      </w:pPr>
      <w:r>
        <w:rPr>
          <w:rStyle w:val="19"/>
          <w:rFonts w:ascii="Times New Roman" w:hAnsi="Times New Roman" w:cs="Times New Roman"/>
          <w:b/>
          <w:bCs/>
          <w:color w:val="auto"/>
          <w:kern w:val="2"/>
        </w:rPr>
        <w:t>1. 模型设计计算说明书</w:t>
      </w:r>
    </w:p>
    <w:p w14:paraId="4127E04C">
      <w:pPr>
        <w:pStyle w:val="15"/>
        <w:spacing w:line="360" w:lineRule="auto"/>
        <w:ind w:firstLine="480" w:firstLineChars="200"/>
        <w:rPr>
          <w:rStyle w:val="19"/>
          <w:rFonts w:ascii="Times New Roman" w:hAnsi="Times New Roman" w:cs="Times New Roman"/>
          <w:color w:val="auto"/>
          <w:kern w:val="2"/>
        </w:rPr>
      </w:pPr>
      <w:r>
        <w:rPr>
          <w:rStyle w:val="19"/>
          <w:rFonts w:ascii="Times New Roman" w:hAnsi="Times New Roman" w:cs="Times New Roman"/>
          <w:color w:val="auto"/>
          <w:kern w:val="2"/>
        </w:rPr>
        <w:t>各决赛参赛代表队应在现场报到时向承办方提交纸质版设计计算说明书：完整版（一式一份），其主要内容及要求如下：</w:t>
      </w:r>
    </w:p>
    <w:p w14:paraId="28A58E88">
      <w:pPr>
        <w:pStyle w:val="15"/>
        <w:spacing w:line="360" w:lineRule="auto"/>
        <w:ind w:firstLine="480" w:firstLineChars="200"/>
        <w:rPr>
          <w:rStyle w:val="19"/>
          <w:rFonts w:ascii="Times New Roman" w:hAnsi="Times New Roman" w:cs="Times New Roman"/>
          <w:color w:val="auto"/>
          <w:kern w:val="2"/>
        </w:rPr>
      </w:pPr>
      <w:r>
        <w:rPr>
          <w:rStyle w:val="19"/>
          <w:rFonts w:ascii="Times New Roman" w:hAnsi="Times New Roman" w:cs="Times New Roman"/>
          <w:color w:val="auto"/>
          <w:kern w:val="2"/>
        </w:rPr>
        <w:t>（1）完整版封面统一格式见附件；</w:t>
      </w:r>
    </w:p>
    <w:p w14:paraId="73D1837F">
      <w:pPr>
        <w:pStyle w:val="15"/>
        <w:spacing w:line="360" w:lineRule="auto"/>
        <w:ind w:firstLine="480" w:firstLineChars="200"/>
        <w:rPr>
          <w:rStyle w:val="19"/>
          <w:rFonts w:ascii="Times New Roman" w:hAnsi="Times New Roman" w:cs="Times New Roman"/>
          <w:color w:val="auto"/>
          <w:kern w:val="2"/>
        </w:rPr>
      </w:pPr>
      <w:r>
        <w:rPr>
          <w:rStyle w:val="19"/>
          <w:rFonts w:ascii="Times New Roman" w:hAnsi="Times New Roman" w:cs="Times New Roman"/>
          <w:color w:val="auto"/>
          <w:kern w:val="2"/>
        </w:rPr>
        <w:t>（2）设计中所使用的材料参数，包括获得参数的方法（实验室测试、统计分析或假设等）；</w:t>
      </w:r>
    </w:p>
    <w:p w14:paraId="25741F7C">
      <w:pPr>
        <w:pStyle w:val="15"/>
        <w:spacing w:line="360" w:lineRule="auto"/>
        <w:ind w:firstLine="480" w:firstLineChars="200"/>
        <w:rPr>
          <w:rStyle w:val="19"/>
          <w:rFonts w:ascii="Times New Roman" w:hAnsi="Times New Roman" w:cs="Times New Roman"/>
          <w:color w:val="auto"/>
          <w:kern w:val="2"/>
        </w:rPr>
      </w:pPr>
      <w:r>
        <w:rPr>
          <w:rStyle w:val="19"/>
          <w:rFonts w:ascii="Times New Roman" w:hAnsi="Times New Roman" w:cs="Times New Roman"/>
          <w:color w:val="auto"/>
          <w:kern w:val="2"/>
        </w:rPr>
        <w:t>（3）模型设计方法与步骤；</w:t>
      </w:r>
    </w:p>
    <w:p w14:paraId="2718ABA4">
      <w:pPr>
        <w:pStyle w:val="15"/>
        <w:spacing w:line="360" w:lineRule="auto"/>
        <w:ind w:firstLine="480" w:firstLineChars="200"/>
        <w:rPr>
          <w:rStyle w:val="19"/>
          <w:rFonts w:ascii="Times New Roman" w:hAnsi="Times New Roman" w:cs="Times New Roman"/>
          <w:color w:val="auto"/>
          <w:kern w:val="2"/>
        </w:rPr>
      </w:pPr>
      <w:r>
        <w:rPr>
          <w:rStyle w:val="19"/>
          <w:rFonts w:ascii="Times New Roman" w:hAnsi="Times New Roman" w:cs="Times New Roman"/>
          <w:color w:val="auto"/>
          <w:kern w:val="2"/>
        </w:rPr>
        <w:t>（4）模型设计方案的比选；</w:t>
      </w:r>
    </w:p>
    <w:p w14:paraId="65A2F5BE">
      <w:pPr>
        <w:pStyle w:val="15"/>
        <w:spacing w:line="360" w:lineRule="auto"/>
        <w:ind w:firstLine="480" w:firstLineChars="200"/>
        <w:rPr>
          <w:rStyle w:val="19"/>
          <w:rFonts w:ascii="Times New Roman" w:hAnsi="Times New Roman" w:cs="Times New Roman"/>
          <w:color w:val="auto"/>
          <w:kern w:val="2"/>
        </w:rPr>
      </w:pPr>
      <w:r>
        <w:rPr>
          <w:rStyle w:val="19"/>
          <w:rFonts w:ascii="Times New Roman" w:hAnsi="Times New Roman" w:cs="Times New Roman"/>
          <w:color w:val="auto"/>
          <w:kern w:val="2"/>
        </w:rPr>
        <w:t>（5）模型设计图纸；</w:t>
      </w:r>
    </w:p>
    <w:p w14:paraId="3AEE76DC">
      <w:pPr>
        <w:pStyle w:val="15"/>
        <w:spacing w:line="360" w:lineRule="auto"/>
        <w:ind w:firstLine="480" w:firstLineChars="200"/>
        <w:rPr>
          <w:rStyle w:val="19"/>
          <w:rFonts w:ascii="Times New Roman" w:hAnsi="Times New Roman" w:cs="Times New Roman"/>
          <w:color w:val="auto"/>
          <w:kern w:val="2"/>
        </w:rPr>
      </w:pPr>
      <w:r>
        <w:rPr>
          <w:rStyle w:val="19"/>
          <w:rFonts w:ascii="Times New Roman" w:hAnsi="Times New Roman" w:cs="Times New Roman"/>
          <w:color w:val="auto"/>
          <w:kern w:val="2"/>
        </w:rPr>
        <w:t>（6）模型建造步骤；</w:t>
      </w:r>
    </w:p>
    <w:p w14:paraId="7D7A0C92">
      <w:pPr>
        <w:pStyle w:val="15"/>
        <w:spacing w:line="360" w:lineRule="auto"/>
        <w:ind w:firstLine="480" w:firstLineChars="200"/>
        <w:rPr>
          <w:rStyle w:val="19"/>
          <w:rFonts w:ascii="Times New Roman" w:hAnsi="Times New Roman" w:cs="Times New Roman"/>
          <w:color w:val="auto"/>
          <w:kern w:val="2"/>
        </w:rPr>
      </w:pPr>
      <w:r>
        <w:rPr>
          <w:rStyle w:val="19"/>
          <w:rFonts w:ascii="Times New Roman" w:hAnsi="Times New Roman" w:cs="Times New Roman"/>
          <w:color w:val="auto"/>
          <w:kern w:val="2"/>
        </w:rPr>
        <w:t>（7）风险与对策：针对比赛中每个环节中可能遇到的潜在风险，提出相应措施；</w:t>
      </w:r>
    </w:p>
    <w:p w14:paraId="4DF20ADF">
      <w:pPr>
        <w:pStyle w:val="15"/>
        <w:spacing w:line="360" w:lineRule="auto"/>
        <w:ind w:firstLine="480" w:firstLineChars="200"/>
        <w:rPr>
          <w:rStyle w:val="19"/>
          <w:rFonts w:ascii="Times New Roman" w:hAnsi="Times New Roman" w:cs="Times New Roman"/>
          <w:color w:val="auto"/>
          <w:kern w:val="2"/>
        </w:rPr>
      </w:pPr>
      <w:r>
        <w:rPr>
          <w:rStyle w:val="19"/>
          <w:rFonts w:ascii="Times New Roman" w:hAnsi="Times New Roman" w:cs="Times New Roman"/>
          <w:color w:val="auto"/>
          <w:kern w:val="2"/>
        </w:rPr>
        <w:t>（8）所有参赛人员的照片与学生证扫描件，以附录形式放在完整版计算说明书后；</w:t>
      </w:r>
    </w:p>
    <w:p w14:paraId="0B78EF97">
      <w:pPr>
        <w:pStyle w:val="15"/>
        <w:spacing w:line="360" w:lineRule="auto"/>
        <w:ind w:firstLine="480" w:firstLineChars="200"/>
        <w:rPr>
          <w:rStyle w:val="19"/>
          <w:rFonts w:ascii="Times New Roman" w:hAnsi="Times New Roman" w:cs="Times New Roman"/>
          <w:color w:val="auto"/>
          <w:kern w:val="2"/>
        </w:rPr>
      </w:pPr>
      <w:r>
        <w:rPr>
          <w:rStyle w:val="19"/>
          <w:rFonts w:ascii="Times New Roman" w:hAnsi="Times New Roman" w:cs="Times New Roman"/>
          <w:color w:val="auto"/>
          <w:kern w:val="2"/>
        </w:rPr>
        <w:t>（9）计算说明书的格式要求：</w:t>
      </w:r>
    </w:p>
    <w:p w14:paraId="1A5B3DE9">
      <w:pPr>
        <w:pStyle w:val="15"/>
        <w:spacing w:line="360" w:lineRule="auto"/>
        <w:ind w:firstLine="480" w:firstLineChars="200"/>
        <w:rPr>
          <w:rStyle w:val="19"/>
          <w:rFonts w:ascii="Times New Roman" w:hAnsi="Times New Roman" w:cs="Times New Roman"/>
          <w:color w:val="auto"/>
          <w:kern w:val="2"/>
        </w:rPr>
      </w:pPr>
      <w:r>
        <w:rPr>
          <w:rStyle w:val="19"/>
          <w:rFonts w:ascii="Times New Roman" w:hAnsi="Times New Roman" w:cs="Times New Roman"/>
          <w:color w:val="auto"/>
          <w:kern w:val="2"/>
        </w:rPr>
        <w:t>①正文篇幅应控制在25页以内（不包括封面页、目录页、附录和参考文献），双面打印；</w:t>
      </w:r>
    </w:p>
    <w:p w14:paraId="21CF0857">
      <w:pPr>
        <w:pStyle w:val="15"/>
        <w:spacing w:line="360" w:lineRule="auto"/>
        <w:ind w:firstLine="480" w:firstLineChars="200"/>
        <w:rPr>
          <w:rStyle w:val="19"/>
          <w:rFonts w:ascii="Times New Roman" w:hAnsi="Times New Roman" w:cs="Times New Roman"/>
          <w:color w:val="auto"/>
          <w:kern w:val="2"/>
        </w:rPr>
      </w:pPr>
      <w:r>
        <w:rPr>
          <w:rStyle w:val="19"/>
          <w:rFonts w:ascii="Times New Roman" w:hAnsi="Times New Roman" w:cs="Times New Roman"/>
          <w:color w:val="auto"/>
          <w:kern w:val="2"/>
        </w:rPr>
        <w:t>②行距20磅、宋体小四号字；</w:t>
      </w:r>
    </w:p>
    <w:p w14:paraId="0B354C72">
      <w:pPr>
        <w:pStyle w:val="15"/>
        <w:spacing w:line="360" w:lineRule="auto"/>
        <w:ind w:firstLine="480" w:firstLineChars="200"/>
        <w:rPr>
          <w:rStyle w:val="19"/>
          <w:rFonts w:ascii="Times New Roman" w:hAnsi="Times New Roman" w:cs="Times New Roman"/>
          <w:color w:val="auto"/>
          <w:kern w:val="2"/>
        </w:rPr>
      </w:pPr>
      <w:r>
        <w:rPr>
          <w:rStyle w:val="19"/>
          <w:rFonts w:ascii="Times New Roman" w:hAnsi="Times New Roman" w:cs="Times New Roman"/>
          <w:color w:val="auto"/>
          <w:kern w:val="2"/>
        </w:rPr>
        <w:t>③封面后的所有页面的页眉统一为“第十届全国城市地下空间工程专业大学生模型设计说明书”，字体为小五号；页脚居中设置页码，页码从正文首页开始为第1页，以阿拉伯数字顺序设置。</w:t>
      </w:r>
    </w:p>
    <w:p w14:paraId="23BCF8E3">
      <w:pPr>
        <w:spacing w:line="360" w:lineRule="auto"/>
        <w:ind w:firstLine="482"/>
        <w:outlineLvl w:val="1"/>
        <w:rPr>
          <w:rStyle w:val="19"/>
          <w:rFonts w:ascii="Times New Roman" w:hAnsi="Times New Roman" w:cs="Times New Roman"/>
          <w:b/>
          <w:bCs/>
          <w:color w:val="auto"/>
        </w:rPr>
      </w:pPr>
      <w:r>
        <w:rPr>
          <w:rStyle w:val="19"/>
          <w:rFonts w:ascii="Times New Roman" w:hAnsi="Times New Roman" w:cs="Times New Roman"/>
          <w:b/>
          <w:bCs/>
          <w:color w:val="auto"/>
        </w:rPr>
        <w:t>2. 现场比赛</w:t>
      </w:r>
    </w:p>
    <w:p w14:paraId="57EDE04F">
      <w:pPr>
        <w:spacing w:line="360" w:lineRule="auto"/>
        <w:ind w:firstLine="480"/>
        <w:rPr>
          <w:rStyle w:val="19"/>
          <w:rFonts w:ascii="Times New Roman" w:hAnsi="Times New Roman" w:cs="Times New Roman"/>
          <w:color w:val="auto"/>
        </w:rPr>
      </w:pPr>
      <w:r>
        <w:rPr>
          <w:rStyle w:val="19"/>
          <w:rFonts w:ascii="Times New Roman" w:hAnsi="Times New Roman" w:cs="Times New Roman"/>
          <w:color w:val="auto"/>
        </w:rPr>
        <w:t>现场比赛时，为了协助评审专家组完成模型尺寸的校核，每个工作台配备一位工作人员，模型制作过程中，禁止工作人员在比赛场地随意走动，只有当参赛代表队举手示意制作完成后，相对应的工作人员方可进入模型制作场地，但是在进入场地过程中，不得妨碍其他代表队的制作。</w:t>
      </w:r>
    </w:p>
    <w:p w14:paraId="6B114609">
      <w:pPr>
        <w:spacing w:line="360" w:lineRule="auto"/>
        <w:ind w:firstLine="480"/>
        <w:rPr>
          <w:color w:val="auto"/>
          <w:szCs w:val="24"/>
        </w:rPr>
      </w:pPr>
      <w:r>
        <w:rPr>
          <w:color w:val="auto"/>
          <w:szCs w:val="24"/>
        </w:rPr>
        <w:t>（1）基坑支护结构和复合地基增强体模型制作</w:t>
      </w:r>
    </w:p>
    <w:p w14:paraId="7954FF87">
      <w:pPr>
        <w:spacing w:line="360" w:lineRule="auto"/>
        <w:ind w:firstLine="480"/>
        <w:rPr>
          <w:szCs w:val="24"/>
        </w:rPr>
      </w:pPr>
      <w:r>
        <w:rPr>
          <w:color w:val="auto"/>
          <w:szCs w:val="24"/>
        </w:rPr>
        <w:t>参赛者须在</w:t>
      </w:r>
      <w:r>
        <w:rPr>
          <w:rFonts w:hint="eastAsia"/>
          <w:color w:val="auto"/>
          <w:szCs w:val="24"/>
        </w:rPr>
        <w:t>90</w:t>
      </w:r>
      <w:r>
        <w:rPr>
          <w:color w:val="auto"/>
          <w:szCs w:val="24"/>
        </w:rPr>
        <w:t>分钟内使用由承办方提供的材料（模型制作工具自备）完成模型制作（包含复合地基增强体、挡土结构</w:t>
      </w:r>
      <w:r>
        <w:rPr>
          <w:rFonts w:hint="eastAsia"/>
          <w:color w:val="auto"/>
          <w:szCs w:val="24"/>
        </w:rPr>
        <w:t>和</w:t>
      </w:r>
      <w:r>
        <w:rPr>
          <w:color w:val="auto"/>
          <w:szCs w:val="24"/>
        </w:rPr>
        <w:t>支撑结构），模型制作耗时得分详见评分标准，超过1</w:t>
      </w:r>
      <w:r>
        <w:rPr>
          <w:rFonts w:hint="eastAsia"/>
          <w:color w:val="auto"/>
          <w:szCs w:val="24"/>
        </w:rPr>
        <w:t>2</w:t>
      </w:r>
      <w:r>
        <w:rPr>
          <w:color w:val="auto"/>
          <w:szCs w:val="24"/>
        </w:rPr>
        <w:t>0分钟将被取消参赛资格。制作完工后，参赛代表队队员举手示意工作人员记录制作</w:t>
      </w:r>
      <w:r>
        <w:rPr>
          <w:szCs w:val="24"/>
        </w:rPr>
        <w:t>时间，参赛代表队队长确认时间后签字，清除多余材料。模型制作完成后，作品放置在制作平台板上，按抽签顺序等待模型加载。</w:t>
      </w:r>
    </w:p>
    <w:p w14:paraId="41D6D554">
      <w:pPr>
        <w:spacing w:line="360" w:lineRule="auto"/>
        <w:ind w:firstLine="480"/>
        <w:rPr>
          <w:szCs w:val="24"/>
        </w:rPr>
      </w:pPr>
      <w:r>
        <w:rPr>
          <w:szCs w:val="24"/>
        </w:rPr>
        <w:t>（2）模型检验与称重</w:t>
      </w:r>
    </w:p>
    <w:p w14:paraId="4FEDFA0E">
      <w:pPr>
        <w:spacing w:line="360" w:lineRule="auto"/>
        <w:ind w:firstLine="480"/>
        <w:rPr>
          <w:szCs w:val="24"/>
        </w:rPr>
      </w:pPr>
      <w:r>
        <w:rPr>
          <w:szCs w:val="24"/>
        </w:rPr>
        <w:t>由评审专家组对制作完成后的整体模型进行检查，满足相关要求方可进入下一阶段。经评审组检查不合格的模型需改正或重做，重做时间也被计入模型制作耗时。尺寸校核及外观检查完成后，对符合比赛资格的整体模型进行称重（包括复合地基增强体、挡土结构</w:t>
      </w:r>
      <w:r>
        <w:rPr>
          <w:rFonts w:hint="eastAsia"/>
          <w:szCs w:val="24"/>
        </w:rPr>
        <w:t>和</w:t>
      </w:r>
      <w:r>
        <w:rPr>
          <w:szCs w:val="24"/>
        </w:rPr>
        <w:t>支撑结构），所得质量即为模型材料用量，由参赛代表队队长确认后签字。</w:t>
      </w:r>
    </w:p>
    <w:p w14:paraId="1F457F2D">
      <w:pPr>
        <w:spacing w:line="360" w:lineRule="auto"/>
        <w:ind w:firstLine="480"/>
        <w:rPr>
          <w:rStyle w:val="19"/>
          <w:rFonts w:ascii="Times New Roman" w:hAnsi="Times New Roman" w:cs="Times New Roman"/>
          <w:color w:val="auto"/>
        </w:rPr>
      </w:pPr>
      <w:r>
        <w:rPr>
          <w:szCs w:val="24"/>
        </w:rPr>
        <w:t>评审专家组进行模型尺寸校核、外观检查及模型称重过程中，仲裁委员会负责现场监督，并在原始单据上签字确认。</w:t>
      </w:r>
    </w:p>
    <w:p w14:paraId="1FA09264">
      <w:pPr>
        <w:spacing w:line="360" w:lineRule="auto"/>
        <w:ind w:firstLine="480"/>
        <w:rPr>
          <w:szCs w:val="24"/>
        </w:rPr>
      </w:pPr>
      <w:r>
        <w:rPr>
          <w:szCs w:val="24"/>
        </w:rPr>
        <w:t>（3）橡胶颗粒、支护结构和复合地基增强体填埋</w:t>
      </w:r>
    </w:p>
    <w:p w14:paraId="6DF1C93E">
      <w:pPr>
        <w:spacing w:line="360" w:lineRule="auto"/>
        <w:ind w:firstLine="480"/>
        <w:rPr>
          <w:szCs w:val="24"/>
        </w:rPr>
      </w:pPr>
      <w:r>
        <w:rPr>
          <w:rFonts w:eastAsia="微软雅黑"/>
          <w:szCs w:val="24"/>
        </w:rPr>
        <w:t>①</w:t>
      </w:r>
      <w:r>
        <w:rPr>
          <w:szCs w:val="24"/>
        </w:rPr>
        <w:t>本次比赛不考虑支护结构和复合地基的建造过程，也即支护结构和复合地基增强体需要随模型箱中橡胶颗粒的填埋一起填埋到橡胶颗粒中。</w:t>
      </w:r>
    </w:p>
    <w:p w14:paraId="65D4B939">
      <w:pPr>
        <w:spacing w:line="360" w:lineRule="auto"/>
        <w:ind w:firstLine="480"/>
        <w:rPr>
          <w:szCs w:val="24"/>
        </w:rPr>
      </w:pPr>
      <w:r>
        <w:rPr>
          <w:rFonts w:eastAsia="微软雅黑"/>
          <w:szCs w:val="24"/>
        </w:rPr>
        <w:t>②</w:t>
      </w:r>
      <w:r>
        <w:rPr>
          <w:szCs w:val="24"/>
        </w:rPr>
        <w:t>挡土结构埋设的位置为挡土结构厚度方向的中心断面距开挖侧模型箱内壁20cm（图</w:t>
      </w:r>
      <w:r>
        <w:rPr>
          <w:rFonts w:hint="eastAsia"/>
          <w:szCs w:val="24"/>
          <w:lang w:val="en-US" w:eastAsia="zh-CN"/>
        </w:rPr>
        <w:t>3</w:t>
      </w:r>
      <w:r>
        <w:rPr>
          <w:szCs w:val="24"/>
        </w:rPr>
        <w:t>），允许误差±3mm，记录挡墙初始位置。</w:t>
      </w:r>
    </w:p>
    <w:p w14:paraId="2590F4E2">
      <w:pPr>
        <w:spacing w:line="360" w:lineRule="auto"/>
        <w:ind w:firstLine="480"/>
        <w:rPr>
          <w:szCs w:val="24"/>
        </w:rPr>
      </w:pPr>
      <w:r>
        <w:rPr>
          <w:rFonts w:eastAsia="微软雅黑"/>
          <w:szCs w:val="24"/>
        </w:rPr>
        <w:t>③</w:t>
      </w:r>
      <w:r>
        <w:rPr>
          <w:szCs w:val="24"/>
        </w:rPr>
        <w:t>支护结构底部可以通到模型箱底部，但不得粘在模型箱底部和侧壁上。</w:t>
      </w:r>
    </w:p>
    <w:p w14:paraId="32DDE76E">
      <w:pPr>
        <w:spacing w:line="360" w:lineRule="auto"/>
        <w:ind w:firstLine="480"/>
        <w:rPr>
          <w:color w:val="auto"/>
          <w:szCs w:val="24"/>
        </w:rPr>
      </w:pPr>
      <w:r>
        <w:rPr>
          <w:rFonts w:eastAsia="微软雅黑"/>
          <w:szCs w:val="24"/>
        </w:rPr>
        <w:t>④</w:t>
      </w:r>
      <w:r>
        <w:rPr>
          <w:szCs w:val="24"/>
        </w:rPr>
        <w:t>橡胶颗粒填埋过程中不</w:t>
      </w:r>
      <w:r>
        <w:rPr>
          <w:color w:val="auto"/>
          <w:szCs w:val="24"/>
        </w:rPr>
        <w:t>得有击实、压实、插捣、敲击等任何加密周围橡胶颗粒的做法。不得给橡胶颗粒加水。</w:t>
      </w:r>
    </w:p>
    <w:p w14:paraId="657682BC">
      <w:pPr>
        <w:spacing w:line="360" w:lineRule="auto"/>
        <w:ind w:firstLine="480"/>
        <w:rPr>
          <w:color w:val="auto"/>
          <w:szCs w:val="24"/>
        </w:rPr>
      </w:pPr>
      <w:r>
        <w:rPr>
          <w:rFonts w:eastAsia="微软雅黑"/>
          <w:color w:val="auto"/>
          <w:szCs w:val="24"/>
        </w:rPr>
        <w:t>⑤</w:t>
      </w:r>
      <w:r>
        <w:rPr>
          <w:color w:val="auto"/>
          <w:szCs w:val="24"/>
        </w:rPr>
        <w:t>待橡胶颗粒填埋至增强体建造范围的底面时，需举手示意，由工作人员测量此时复合地基的标高，记为H</w:t>
      </w:r>
      <w:r>
        <w:rPr>
          <w:color w:val="auto"/>
          <w:szCs w:val="24"/>
          <w:vertAlign w:val="subscript"/>
        </w:rPr>
        <w:t>1</w:t>
      </w:r>
      <w:r>
        <w:rPr>
          <w:color w:val="auto"/>
          <w:szCs w:val="24"/>
        </w:rPr>
        <w:t>。待增强体填埋完成后，需举手示意，由工作人员测量此时复合地基的标高，记为H</w:t>
      </w:r>
      <w:r>
        <w:rPr>
          <w:color w:val="auto"/>
          <w:szCs w:val="24"/>
          <w:vertAlign w:val="subscript"/>
        </w:rPr>
        <w:t>2</w:t>
      </w:r>
      <w:r>
        <w:rPr>
          <w:color w:val="auto"/>
          <w:szCs w:val="24"/>
        </w:rPr>
        <w:t>。此时复合地基顶面与模型箱顶面的距离需不小于1cm；增强体建造范围的竖向距离H</w:t>
      </w:r>
      <w:r>
        <w:rPr>
          <w:color w:val="auto"/>
          <w:szCs w:val="24"/>
          <w:vertAlign w:val="subscript"/>
        </w:rPr>
        <w:t>2</w:t>
      </w:r>
      <w:r>
        <w:rPr>
          <w:color w:val="auto"/>
          <w:szCs w:val="24"/>
        </w:rPr>
        <w:t>-H</w:t>
      </w:r>
      <w:r>
        <w:rPr>
          <w:color w:val="auto"/>
          <w:szCs w:val="24"/>
          <w:vertAlign w:val="subscript"/>
        </w:rPr>
        <w:t>1</w:t>
      </w:r>
      <w:r>
        <w:rPr>
          <w:color w:val="auto"/>
          <w:szCs w:val="24"/>
        </w:rPr>
        <w:t>需不大于45cm。</w:t>
      </w:r>
    </w:p>
    <w:p w14:paraId="63BF34E3">
      <w:pPr>
        <w:spacing w:line="360" w:lineRule="auto"/>
        <w:ind w:firstLine="480"/>
        <w:rPr>
          <w:color w:val="auto"/>
          <w:kern w:val="0"/>
          <w:szCs w:val="24"/>
          <w:lang w:bidi="ar"/>
        </w:rPr>
      </w:pPr>
      <w:r>
        <w:rPr>
          <w:rFonts w:eastAsia="微软雅黑"/>
          <w:color w:val="auto"/>
          <w:szCs w:val="24"/>
        </w:rPr>
        <w:t>⑥</w:t>
      </w:r>
      <w:r>
        <w:rPr>
          <w:color w:val="auto"/>
          <w:szCs w:val="24"/>
        </w:rPr>
        <w:t>橡胶颗粒填埋至模型箱顶部后，需对橡胶颗粒表面进行平整，</w:t>
      </w:r>
      <w:r>
        <w:rPr>
          <w:color w:val="auto"/>
          <w:kern w:val="0"/>
          <w:szCs w:val="24"/>
          <w:lang w:bidi="ar"/>
        </w:rPr>
        <w:t>复合地基制作完成。</w:t>
      </w:r>
    </w:p>
    <w:p w14:paraId="6A09845B">
      <w:pPr>
        <w:spacing w:line="360" w:lineRule="auto"/>
        <w:ind w:firstLine="480"/>
        <w:rPr>
          <w:color w:val="auto"/>
          <w:szCs w:val="24"/>
        </w:rPr>
      </w:pPr>
      <w:r>
        <w:rPr>
          <w:rFonts w:eastAsia="微软雅黑"/>
          <w:color w:val="auto"/>
          <w:szCs w:val="24"/>
        </w:rPr>
        <w:t>⑦</w:t>
      </w:r>
      <w:r>
        <w:rPr>
          <w:color w:val="auto"/>
          <w:szCs w:val="24"/>
        </w:rPr>
        <w:t>参赛者须在</w:t>
      </w:r>
      <w:r>
        <w:rPr>
          <w:rFonts w:hint="eastAsia"/>
          <w:color w:val="auto"/>
          <w:szCs w:val="24"/>
        </w:rPr>
        <w:t>45</w:t>
      </w:r>
      <w:r>
        <w:rPr>
          <w:color w:val="auto"/>
          <w:szCs w:val="24"/>
        </w:rPr>
        <w:t>分钟内</w:t>
      </w:r>
      <w:r>
        <w:rPr>
          <w:rFonts w:hint="eastAsia"/>
          <w:color w:val="auto"/>
          <w:szCs w:val="24"/>
        </w:rPr>
        <w:t>完成</w:t>
      </w:r>
      <w:r>
        <w:rPr>
          <w:color w:val="auto"/>
          <w:szCs w:val="24"/>
        </w:rPr>
        <w:t>橡胶颗粒、支护结构和复合地基增强体</w:t>
      </w:r>
      <w:r>
        <w:rPr>
          <w:rFonts w:hint="eastAsia"/>
          <w:color w:val="auto"/>
          <w:szCs w:val="24"/>
        </w:rPr>
        <w:t>的</w:t>
      </w:r>
      <w:r>
        <w:rPr>
          <w:color w:val="auto"/>
          <w:szCs w:val="24"/>
        </w:rPr>
        <w:t>填埋</w:t>
      </w:r>
      <w:r>
        <w:rPr>
          <w:rFonts w:hint="eastAsia"/>
          <w:color w:val="auto"/>
          <w:szCs w:val="24"/>
        </w:rPr>
        <w:t>，</w:t>
      </w:r>
      <w:r>
        <w:rPr>
          <w:color w:val="auto"/>
          <w:szCs w:val="24"/>
        </w:rPr>
        <w:t>超过</w:t>
      </w:r>
      <w:r>
        <w:rPr>
          <w:rFonts w:hint="eastAsia"/>
          <w:color w:val="auto"/>
          <w:szCs w:val="24"/>
        </w:rPr>
        <w:t>45</w:t>
      </w:r>
      <w:r>
        <w:rPr>
          <w:color w:val="auto"/>
          <w:szCs w:val="24"/>
        </w:rPr>
        <w:t>分钟将被取消参赛资格。</w:t>
      </w:r>
    </w:p>
    <w:p w14:paraId="0AD222EC">
      <w:pPr>
        <w:numPr>
          <w:ilvl w:val="0"/>
          <w:numId w:val="2"/>
        </w:numPr>
        <w:spacing w:line="360" w:lineRule="auto"/>
        <w:ind w:firstLine="472"/>
        <w:rPr>
          <w:color w:val="auto"/>
          <w:szCs w:val="24"/>
        </w:rPr>
      </w:pPr>
      <w:r>
        <w:rPr>
          <w:color w:val="auto"/>
          <w:spacing w:val="-2"/>
        </w:rPr>
        <w:t>加载板和沉降测量百分表安装</w:t>
      </w:r>
    </w:p>
    <w:p w14:paraId="06D3350B">
      <w:pPr>
        <w:spacing w:line="360" w:lineRule="auto"/>
        <w:ind w:firstLine="480"/>
        <w:rPr>
          <w:szCs w:val="24"/>
        </w:rPr>
      </w:pPr>
      <w:r>
        <w:rPr>
          <w:rFonts w:eastAsia="微软雅黑"/>
          <w:color w:val="auto"/>
          <w:szCs w:val="24"/>
        </w:rPr>
        <w:t>①</w:t>
      </w:r>
      <w:r>
        <w:rPr>
          <w:color w:val="auto"/>
          <w:szCs w:val="24"/>
        </w:rPr>
        <w:t>在完成复合地基和支护结构的制作后，需在复</w:t>
      </w:r>
      <w:r>
        <w:rPr>
          <w:szCs w:val="24"/>
        </w:rPr>
        <w:t>合地基表面安装加载板、砝码以及测量沉降变形的4只百分表，加载板平面尺寸35cm×35cm。</w:t>
      </w:r>
    </w:p>
    <w:p w14:paraId="1F5534FB">
      <w:pPr>
        <w:spacing w:line="360" w:lineRule="auto"/>
        <w:ind w:firstLine="480"/>
        <w:rPr>
          <w:szCs w:val="24"/>
        </w:rPr>
      </w:pPr>
      <w:r>
        <w:rPr>
          <w:rFonts w:eastAsia="微软雅黑"/>
          <w:szCs w:val="24"/>
        </w:rPr>
        <w:t>②</w:t>
      </w:r>
      <w:r>
        <w:rPr>
          <w:szCs w:val="24"/>
        </w:rPr>
        <w:t>在放置加载板时，放置中心为图</w:t>
      </w:r>
      <w:r>
        <w:rPr>
          <w:rFonts w:hint="eastAsia"/>
          <w:szCs w:val="24"/>
          <w:lang w:val="en-US" w:eastAsia="zh-CN"/>
        </w:rPr>
        <w:t>3</w:t>
      </w:r>
      <w:r>
        <w:rPr>
          <w:szCs w:val="24"/>
        </w:rPr>
        <w:t>(a)中的O点。O位于模型箱长度方向的中心线上，距挡土结构橡胶颗粒侧表面22.5cm。</w:t>
      </w:r>
    </w:p>
    <w:p w14:paraId="66653496">
      <w:pPr>
        <w:spacing w:line="360" w:lineRule="auto"/>
        <w:ind w:firstLine="480"/>
        <w:rPr>
          <w:szCs w:val="24"/>
        </w:rPr>
      </w:pPr>
      <w:r>
        <w:rPr>
          <w:szCs w:val="24"/>
        </w:rPr>
        <w:t>③加载板的4个角设置4个机械百分表，测点距加载板边的水平距离不大于2cm，如图</w:t>
      </w:r>
      <w:r>
        <w:rPr>
          <w:rFonts w:hint="eastAsia"/>
          <w:szCs w:val="24"/>
          <w:lang w:val="en-US" w:eastAsia="zh-CN"/>
        </w:rPr>
        <w:t>3</w:t>
      </w:r>
      <w:r>
        <w:rPr>
          <w:szCs w:val="24"/>
        </w:rPr>
        <w:t>(a)所示。百分表应垂直加载板表面安装。</w:t>
      </w:r>
    </w:p>
    <w:p w14:paraId="2731B2C0">
      <w:pPr>
        <w:numPr>
          <w:ilvl w:val="0"/>
          <w:numId w:val="2"/>
        </w:numPr>
        <w:spacing w:line="360" w:lineRule="auto"/>
        <w:ind w:firstLine="472"/>
        <w:rPr>
          <w:spacing w:val="-2"/>
        </w:rPr>
      </w:pPr>
      <w:r>
        <w:rPr>
          <w:spacing w:val="-2"/>
        </w:rPr>
        <w:t>加载测试</w:t>
      </w:r>
    </w:p>
    <w:p w14:paraId="57A7140F">
      <w:pPr>
        <w:spacing w:line="360" w:lineRule="auto"/>
        <w:ind w:firstLine="480" w:firstLineChars="0"/>
        <w:rPr>
          <w:szCs w:val="24"/>
        </w:rPr>
      </w:pPr>
      <w:r>
        <w:rPr>
          <w:szCs w:val="24"/>
        </w:rPr>
        <w:t>①加载采用砝码分三级加载，最大加载质量为60kg，每级加载量由参赛队伍自行决定。</w:t>
      </w:r>
    </w:p>
    <w:p w14:paraId="115476CD">
      <w:pPr>
        <w:spacing w:line="360" w:lineRule="auto"/>
        <w:ind w:firstLine="480" w:firstLineChars="0"/>
        <w:rPr>
          <w:color w:val="auto"/>
          <w:szCs w:val="24"/>
        </w:rPr>
      </w:pPr>
      <w:r>
        <w:rPr>
          <w:szCs w:val="24"/>
        </w:rPr>
        <w:t>②前两级加载后，静置时间间隔为30s后读取4个百分表的沉降并记录，作为该级荷载的沉降值。最后一级加载，</w:t>
      </w:r>
      <w:r>
        <w:rPr>
          <w:color w:val="auto"/>
          <w:szCs w:val="24"/>
        </w:rPr>
        <w:t>静置2min后，读取4个百分表的沉降并记录，以4个百分表所测的沉降最大值作为最终加载沉降值。</w:t>
      </w:r>
    </w:p>
    <w:p w14:paraId="5DA03D40">
      <w:pPr>
        <w:spacing w:line="360" w:lineRule="auto"/>
        <w:ind w:firstLine="480"/>
        <w:rPr>
          <w:color w:val="auto"/>
          <w:szCs w:val="24"/>
        </w:rPr>
      </w:pPr>
      <w:r>
        <w:rPr>
          <w:color w:val="auto"/>
          <w:szCs w:val="24"/>
        </w:rPr>
        <w:t>③加载到最后一级时，静置2min后，测量挡墙最大侧向变形。</w:t>
      </w:r>
    </w:p>
    <w:p w14:paraId="6633B077">
      <w:pPr>
        <w:spacing w:line="360" w:lineRule="auto"/>
        <w:ind w:firstLine="480"/>
        <w:rPr>
          <w:color w:val="auto"/>
          <w:szCs w:val="24"/>
        </w:rPr>
      </w:pPr>
      <w:r>
        <w:rPr>
          <w:color w:val="auto"/>
          <w:szCs w:val="24"/>
        </w:rPr>
        <w:t>④如果由于操作失误等原因造成没能完成整体的加载过程，认定为加载失败。加载过程中，挡墙最大侧向变形相对填土前的初始位置超过</w:t>
      </w:r>
      <w:r>
        <w:rPr>
          <w:rFonts w:hint="eastAsia"/>
          <w:color w:val="auto"/>
          <w:szCs w:val="24"/>
        </w:rPr>
        <w:t>1</w:t>
      </w:r>
      <w:r>
        <w:rPr>
          <w:color w:val="auto"/>
          <w:szCs w:val="24"/>
        </w:rPr>
        <w:t>0mm，也认定为加载失败。</w:t>
      </w:r>
    </w:p>
    <w:p w14:paraId="39133188">
      <w:pPr>
        <w:widowControl/>
        <w:ind w:firstLine="0" w:firstLineChars="0"/>
        <w:jc w:val="left"/>
        <w:outlineLvl w:val="0"/>
        <w:rPr>
          <w:rFonts w:eastAsia="黑体"/>
          <w:b/>
          <w:sz w:val="32"/>
          <w:szCs w:val="32"/>
        </w:rPr>
      </w:pPr>
      <w:r>
        <w:rPr>
          <w:b/>
          <w:bCs/>
          <w:kern w:val="0"/>
          <w:sz w:val="32"/>
          <w:szCs w:val="32"/>
          <w:lang w:bidi="ar"/>
        </w:rPr>
        <w:t>七、评分标准</w:t>
      </w:r>
    </w:p>
    <w:p w14:paraId="53B35A0C">
      <w:pPr>
        <w:autoSpaceDE w:val="0"/>
        <w:spacing w:line="360" w:lineRule="auto"/>
        <w:ind w:left="482" w:firstLine="0" w:firstLineChars="0"/>
        <w:outlineLvl w:val="1"/>
        <w:rPr>
          <w:rFonts w:eastAsia="TimesNewRomanPSMT"/>
          <w:b/>
          <w:bCs/>
          <w:szCs w:val="24"/>
        </w:rPr>
      </w:pPr>
      <w:r>
        <w:rPr>
          <w:rFonts w:eastAsia="TimesNewRomanPSMT"/>
          <w:b/>
          <w:bCs/>
          <w:szCs w:val="24"/>
          <w:lang w:bidi="ar"/>
        </w:rPr>
        <w:t>1</w:t>
      </w:r>
      <w:r>
        <w:rPr>
          <w:rStyle w:val="19"/>
          <w:rFonts w:ascii="Times New Roman" w:hAnsi="Times New Roman" w:cs="Times New Roman"/>
          <w:b/>
          <w:bCs/>
          <w:color w:val="auto"/>
        </w:rPr>
        <w:t xml:space="preserve">. </w:t>
      </w:r>
      <w:r>
        <w:rPr>
          <w:b/>
          <w:bCs/>
          <w:szCs w:val="24"/>
          <w:lang w:bidi="ar"/>
        </w:rPr>
        <w:t>参赛作品的分数由以下几部分构成：</w:t>
      </w:r>
    </w:p>
    <w:p w14:paraId="2E5EAFC2">
      <w:pPr>
        <w:autoSpaceDE w:val="0"/>
        <w:spacing w:line="360" w:lineRule="auto"/>
        <w:ind w:firstLine="480"/>
        <w:rPr>
          <w:rFonts w:eastAsia="TimesNewRomanPSMT"/>
          <w:szCs w:val="24"/>
        </w:rPr>
      </w:pPr>
      <w:r>
        <w:rPr>
          <w:szCs w:val="24"/>
          <w:lang w:bidi="ar"/>
        </w:rPr>
        <w:t>得分按</w:t>
      </w:r>
      <w:r>
        <w:rPr>
          <w:rFonts w:eastAsia="TimesNewRomanPSMT"/>
          <w:szCs w:val="24"/>
          <w:lang w:bidi="ar"/>
        </w:rPr>
        <w:t>A</w:t>
      </w:r>
      <w:r>
        <w:rPr>
          <w:szCs w:val="24"/>
          <w:lang w:bidi="ar"/>
        </w:rPr>
        <w:t>、</w:t>
      </w:r>
      <w:r>
        <w:rPr>
          <w:rFonts w:eastAsia="TimesNewRomanPSMT"/>
          <w:szCs w:val="24"/>
          <w:lang w:bidi="ar"/>
        </w:rPr>
        <w:t>B</w:t>
      </w:r>
      <w:r>
        <w:rPr>
          <w:szCs w:val="24"/>
          <w:lang w:bidi="ar"/>
        </w:rPr>
        <w:t>、</w:t>
      </w:r>
      <w:r>
        <w:rPr>
          <w:rFonts w:eastAsia="TimesNewRomanPSMT"/>
          <w:szCs w:val="24"/>
          <w:lang w:bidi="ar"/>
        </w:rPr>
        <w:t>C</w:t>
      </w:r>
      <w:r>
        <w:rPr>
          <w:szCs w:val="24"/>
          <w:lang w:bidi="ar"/>
        </w:rPr>
        <w:t>三档计算。在6</w:t>
      </w:r>
      <w:r>
        <w:rPr>
          <w:rFonts w:eastAsia="TimesNewRomanPSMT"/>
          <w:szCs w:val="24"/>
          <w:lang w:bidi="ar"/>
        </w:rPr>
        <w:t>0kg</w:t>
      </w:r>
      <w:r>
        <w:rPr>
          <w:szCs w:val="24"/>
          <w:lang w:bidi="ar"/>
        </w:rPr>
        <w:t>荷载下加载沉降</w:t>
      </w:r>
      <w:r>
        <w:rPr>
          <w:rFonts w:eastAsia="TimesNewRomanPSMT"/>
          <w:szCs w:val="24"/>
          <w:lang w:bidi="ar"/>
        </w:rPr>
        <w:t>≤</w:t>
      </w:r>
      <w:r>
        <w:rPr>
          <w:szCs w:val="24"/>
          <w:lang w:bidi="ar"/>
        </w:rPr>
        <w:t>20</w:t>
      </w:r>
      <w:r>
        <w:rPr>
          <w:rFonts w:eastAsia="TimesNewRomanPSMT"/>
          <w:szCs w:val="24"/>
          <w:lang w:bidi="ar"/>
        </w:rPr>
        <w:t>mm</w:t>
      </w:r>
      <w:r>
        <w:rPr>
          <w:szCs w:val="24"/>
          <w:lang w:bidi="ar"/>
        </w:rPr>
        <w:t>为</w:t>
      </w:r>
      <w:r>
        <w:rPr>
          <w:rFonts w:eastAsia="TimesNewRomanPSMT"/>
          <w:szCs w:val="24"/>
          <w:lang w:bidi="ar"/>
        </w:rPr>
        <w:t>A</w:t>
      </w:r>
      <w:r>
        <w:rPr>
          <w:szCs w:val="24"/>
          <w:lang w:bidi="ar"/>
        </w:rPr>
        <w:t>档，在6</w:t>
      </w:r>
      <w:r>
        <w:rPr>
          <w:rFonts w:eastAsia="TimesNewRomanPSMT"/>
          <w:szCs w:val="24"/>
          <w:lang w:bidi="ar"/>
        </w:rPr>
        <w:t>0kg</w:t>
      </w:r>
      <w:r>
        <w:rPr>
          <w:szCs w:val="24"/>
          <w:lang w:bidi="ar"/>
        </w:rPr>
        <w:t>荷载下加载沉降</w:t>
      </w:r>
      <w:r>
        <w:rPr>
          <w:rFonts w:eastAsia="TimesNewRomanPSMT"/>
          <w:szCs w:val="24"/>
          <w:lang w:bidi="ar"/>
        </w:rPr>
        <w:t>&gt;</w:t>
      </w:r>
      <w:r>
        <w:rPr>
          <w:szCs w:val="24"/>
          <w:lang w:bidi="ar"/>
        </w:rPr>
        <w:t>20</w:t>
      </w:r>
      <w:r>
        <w:rPr>
          <w:rFonts w:eastAsia="TimesNewRomanPSMT"/>
          <w:szCs w:val="24"/>
          <w:lang w:bidi="ar"/>
        </w:rPr>
        <w:t>mm</w:t>
      </w:r>
      <w:r>
        <w:rPr>
          <w:szCs w:val="24"/>
          <w:lang w:bidi="ar"/>
        </w:rPr>
        <w:t>为</w:t>
      </w:r>
      <w:r>
        <w:rPr>
          <w:rFonts w:eastAsia="TimesNewRomanPSMT"/>
          <w:szCs w:val="24"/>
          <w:lang w:bidi="ar"/>
        </w:rPr>
        <w:t>B</w:t>
      </w:r>
      <w:r>
        <w:rPr>
          <w:szCs w:val="24"/>
          <w:lang w:bidi="ar"/>
        </w:rPr>
        <w:t>档，加载失败的为</w:t>
      </w:r>
      <w:r>
        <w:rPr>
          <w:rFonts w:eastAsia="TimesNewRomanPSMT"/>
          <w:szCs w:val="24"/>
          <w:lang w:bidi="ar"/>
        </w:rPr>
        <w:t>C</w:t>
      </w:r>
      <w:r>
        <w:rPr>
          <w:szCs w:val="24"/>
          <w:lang w:bidi="ar"/>
        </w:rPr>
        <w:t>档（模型破坏或位移</w:t>
      </w:r>
      <w:r>
        <w:rPr>
          <w:rFonts w:eastAsia="TimesNewRomanPSMT"/>
          <w:szCs w:val="24"/>
          <w:lang w:bidi="ar"/>
        </w:rPr>
        <w:t>&gt;</w:t>
      </w:r>
      <w:r>
        <w:rPr>
          <w:rFonts w:hint="eastAsia"/>
          <w:szCs w:val="24"/>
          <w:lang w:val="en-US" w:eastAsia="zh-CN" w:bidi="ar"/>
        </w:rPr>
        <w:t>1</w:t>
      </w:r>
      <w:r>
        <w:rPr>
          <w:szCs w:val="24"/>
          <w:lang w:bidi="ar"/>
        </w:rPr>
        <w:t>0</w:t>
      </w:r>
      <w:r>
        <w:rPr>
          <w:rFonts w:eastAsia="TimesNewRomanPSMT"/>
          <w:szCs w:val="24"/>
          <w:lang w:bidi="ar"/>
        </w:rPr>
        <w:t>mm</w:t>
      </w:r>
      <w:r>
        <w:rPr>
          <w:szCs w:val="24"/>
          <w:lang w:bidi="ar"/>
        </w:rPr>
        <w:t>），排序方式为</w:t>
      </w:r>
      <w:r>
        <w:rPr>
          <w:rFonts w:eastAsia="TimesNewRomanPSMT"/>
          <w:szCs w:val="24"/>
          <w:lang w:bidi="ar"/>
        </w:rPr>
        <w:t>A&gt;B&gt;C</w:t>
      </w:r>
      <w:r>
        <w:rPr>
          <w:szCs w:val="24"/>
          <w:lang w:bidi="ar"/>
        </w:rPr>
        <w:t>。</w:t>
      </w:r>
    </w:p>
    <w:p w14:paraId="6F625FDD">
      <w:pPr>
        <w:autoSpaceDE w:val="0"/>
        <w:spacing w:line="360" w:lineRule="auto"/>
        <w:ind w:firstLine="480"/>
        <w:rPr>
          <w:rFonts w:eastAsia="TimesNewRomanPSMT"/>
          <w:szCs w:val="24"/>
        </w:rPr>
      </w:pPr>
      <w:r>
        <w:rPr>
          <w:szCs w:val="24"/>
          <w:lang w:bidi="ar"/>
        </w:rPr>
        <w:t>（1）</w:t>
      </w:r>
      <w:r>
        <w:rPr>
          <w:rFonts w:eastAsia="TimesNewRomanPSMT"/>
          <w:szCs w:val="24"/>
          <w:lang w:bidi="ar"/>
        </w:rPr>
        <w:t>A</w:t>
      </w:r>
      <w:r>
        <w:rPr>
          <w:szCs w:val="24"/>
          <w:lang w:bidi="ar"/>
        </w:rPr>
        <w:t>档按照以下得分排序：</w:t>
      </w:r>
    </w:p>
    <w:p w14:paraId="0B45061A">
      <w:pPr>
        <w:autoSpaceDE w:val="0"/>
        <w:spacing w:line="360" w:lineRule="auto"/>
        <w:ind w:firstLine="480"/>
        <w:jc w:val="left"/>
        <w:rPr>
          <w:rFonts w:eastAsia="TimesNewRomanPSMT"/>
          <w:szCs w:val="24"/>
        </w:rPr>
      </w:pPr>
      <w:r>
        <w:rPr>
          <w:szCs w:val="24"/>
          <w:lang w:bidi="ar"/>
        </w:rPr>
        <w:t>得分</w:t>
      </w:r>
      <w:r>
        <w:rPr>
          <w:rFonts w:eastAsia="TimesNewRomanPSMT"/>
          <w:i/>
          <w:szCs w:val="24"/>
          <w:lang w:bidi="ar"/>
        </w:rPr>
        <w:t>S</w:t>
      </w:r>
      <w:r>
        <w:rPr>
          <w:rFonts w:eastAsia="TimesNewRomanPSMT"/>
          <w:szCs w:val="24"/>
          <w:lang w:bidi="ar"/>
        </w:rPr>
        <w:t>=</w:t>
      </w:r>
      <w:r>
        <w:rPr>
          <w:rFonts w:eastAsia="TimesNewRomanPSMT"/>
          <w:i/>
          <w:szCs w:val="24"/>
          <w:lang w:bidi="ar"/>
        </w:rPr>
        <w:t>S</w:t>
      </w:r>
      <w:r>
        <w:rPr>
          <w:rFonts w:eastAsia="TimesNewRomanPSMT"/>
          <w:szCs w:val="24"/>
          <w:lang w:bidi="ar"/>
        </w:rPr>
        <w:t>1×10%+</w:t>
      </w:r>
      <w:r>
        <w:rPr>
          <w:rFonts w:eastAsia="TimesNewRomanPSMT"/>
          <w:i/>
          <w:szCs w:val="24"/>
          <w:lang w:bidi="ar"/>
        </w:rPr>
        <w:t>S</w:t>
      </w:r>
      <w:r>
        <w:rPr>
          <w:rFonts w:eastAsia="TimesNewRomanPSMT"/>
          <w:szCs w:val="24"/>
          <w:lang w:bidi="ar"/>
        </w:rPr>
        <w:t>2×50%+</w:t>
      </w:r>
      <w:r>
        <w:rPr>
          <w:rFonts w:eastAsia="TimesNewRomanPSMT"/>
          <w:i/>
          <w:szCs w:val="24"/>
          <w:lang w:bidi="ar"/>
        </w:rPr>
        <w:t>S</w:t>
      </w:r>
      <w:r>
        <w:rPr>
          <w:rFonts w:eastAsia="TimesNewRomanPSMT"/>
          <w:szCs w:val="24"/>
          <w:lang w:bidi="ar"/>
        </w:rPr>
        <w:t>3×10%+</w:t>
      </w:r>
      <w:r>
        <w:rPr>
          <w:rFonts w:eastAsia="TimesNewRomanPSMT"/>
          <w:i/>
          <w:szCs w:val="24"/>
          <w:lang w:bidi="ar"/>
        </w:rPr>
        <w:t>S</w:t>
      </w:r>
      <w:r>
        <w:rPr>
          <w:rFonts w:eastAsia="TimesNewRomanPSMT"/>
          <w:szCs w:val="24"/>
          <w:lang w:bidi="ar"/>
        </w:rPr>
        <w:t>4×30%-</w:t>
      </w:r>
      <w:r>
        <w:rPr>
          <w:rFonts w:eastAsia="TimesNewRomanPSMT"/>
          <w:i/>
          <w:iCs/>
          <w:szCs w:val="24"/>
          <w:lang w:bidi="ar"/>
        </w:rPr>
        <w:t>S</w:t>
      </w:r>
      <w:r>
        <w:rPr>
          <w:rFonts w:eastAsia="TimesNewRomanPSMT"/>
          <w:szCs w:val="24"/>
          <w:lang w:bidi="ar"/>
        </w:rPr>
        <w:t>5</w:t>
      </w:r>
      <w:r>
        <w:rPr>
          <w:szCs w:val="24"/>
          <w:lang w:bidi="ar"/>
        </w:rPr>
        <w:t>。</w:t>
      </w:r>
    </w:p>
    <w:p w14:paraId="3C440080">
      <w:pPr>
        <w:autoSpaceDE w:val="0"/>
        <w:spacing w:line="360" w:lineRule="auto"/>
        <w:ind w:firstLine="480"/>
        <w:rPr>
          <w:rFonts w:eastAsia="TimesNewRomanPSMT"/>
          <w:szCs w:val="24"/>
          <w:lang w:bidi="ar"/>
        </w:rPr>
      </w:pPr>
      <w:r>
        <w:rPr>
          <w:szCs w:val="24"/>
          <w:lang w:bidi="ar"/>
        </w:rPr>
        <w:t>①</w:t>
      </w:r>
      <w:r>
        <w:rPr>
          <w:rFonts w:eastAsia="TimesNewRomanPSMT"/>
          <w:i/>
          <w:szCs w:val="24"/>
          <w:lang w:bidi="ar"/>
        </w:rPr>
        <w:t>S</w:t>
      </w:r>
      <w:r>
        <w:rPr>
          <w:rFonts w:eastAsia="TimesNewRomanPSMT"/>
          <w:szCs w:val="24"/>
          <w:lang w:bidi="ar"/>
        </w:rPr>
        <w:t>1</w:t>
      </w:r>
      <w:r>
        <w:rPr>
          <w:szCs w:val="24"/>
          <w:lang w:bidi="ar"/>
        </w:rPr>
        <w:t>为设计报告得分，最高</w:t>
      </w:r>
      <w:r>
        <w:rPr>
          <w:rFonts w:eastAsia="TimesNewRomanPSMT"/>
          <w:szCs w:val="24"/>
          <w:lang w:bidi="ar"/>
        </w:rPr>
        <w:t>100</w:t>
      </w:r>
      <w:r>
        <w:rPr>
          <w:szCs w:val="24"/>
          <w:lang w:bidi="ar"/>
        </w:rPr>
        <w:t>分</w:t>
      </w:r>
      <w:r>
        <w:rPr>
          <w:rFonts w:eastAsiaTheme="minorEastAsia"/>
          <w:szCs w:val="24"/>
          <w:lang w:bidi="ar"/>
        </w:rPr>
        <w:t>，</w:t>
      </w:r>
      <w:r>
        <w:rPr>
          <w:szCs w:val="24"/>
          <w:lang w:bidi="ar"/>
        </w:rPr>
        <w:t>由评审专家组的评委按设计内容的完整性、计算的正确性和书写的规范性等进行评分。去掉一个最高分和一个最低分，取其余评委的平均分作为该参赛代表队的该项得分。现场比赛方案的结构应与报告保持一致，否则应在现场比赛之前</w:t>
      </w:r>
      <w:r>
        <w:rPr>
          <w:rFonts w:eastAsiaTheme="minorEastAsia"/>
          <w:szCs w:val="24"/>
          <w:lang w:bidi="ar"/>
        </w:rPr>
        <w:t>按规定时间</w:t>
      </w:r>
      <w:r>
        <w:rPr>
          <w:szCs w:val="24"/>
          <w:lang w:bidi="ar"/>
        </w:rPr>
        <w:t>提交最终稿至组委会；</w:t>
      </w:r>
    </w:p>
    <w:p w14:paraId="0DEA34CC">
      <w:pPr>
        <w:autoSpaceDE w:val="0"/>
        <w:spacing w:line="360" w:lineRule="auto"/>
        <w:ind w:firstLine="480"/>
        <w:rPr>
          <w:rFonts w:eastAsiaTheme="minorEastAsia"/>
          <w:szCs w:val="24"/>
          <w:lang w:bidi="ar"/>
        </w:rPr>
      </w:pPr>
      <w:r>
        <w:rPr>
          <w:rFonts w:eastAsia="TimesNewRomanPSMT"/>
          <w:szCs w:val="24"/>
          <w:lang w:bidi="ar"/>
        </w:rPr>
        <w:t>②</w:t>
      </w:r>
      <w:r>
        <w:rPr>
          <w:rFonts w:eastAsia="TimesNewRomanPSMT"/>
          <w:i/>
          <w:szCs w:val="24"/>
          <w:lang w:bidi="ar"/>
        </w:rPr>
        <w:t>S</w:t>
      </w:r>
      <w:r>
        <w:rPr>
          <w:rFonts w:eastAsia="TimesNewRomanPSMT"/>
          <w:szCs w:val="24"/>
          <w:lang w:bidi="ar"/>
        </w:rPr>
        <w:t>2</w:t>
      </w:r>
      <w:r>
        <w:rPr>
          <w:szCs w:val="24"/>
          <w:lang w:bidi="ar"/>
        </w:rPr>
        <w:t>为基坑支护模型的</w:t>
      </w:r>
      <w:r>
        <w:rPr>
          <w:rFonts w:eastAsiaTheme="minorEastAsia"/>
          <w:szCs w:val="24"/>
          <w:lang w:bidi="ar"/>
        </w:rPr>
        <w:t>承载比</w:t>
      </w:r>
      <w:r>
        <w:rPr>
          <w:szCs w:val="24"/>
          <w:lang w:bidi="ar"/>
        </w:rPr>
        <w:t>得分，</w:t>
      </w:r>
      <w:r>
        <w:rPr>
          <w:rFonts w:eastAsiaTheme="minorEastAsia"/>
          <w:szCs w:val="24"/>
          <w:lang w:bidi="ar"/>
        </w:rPr>
        <w:t>承载比（累计最大加载质量/基坑支护</w:t>
      </w:r>
      <w:r>
        <w:rPr>
          <w:szCs w:val="24"/>
        </w:rPr>
        <w:t>模型材料用量）</w:t>
      </w:r>
      <w:r>
        <w:rPr>
          <w:rFonts w:eastAsiaTheme="minorEastAsia"/>
          <w:szCs w:val="24"/>
          <w:lang w:bidi="ar"/>
        </w:rPr>
        <w:t>最大的队伍得分100分</w:t>
      </w:r>
      <w:r>
        <w:rPr>
          <w:szCs w:val="24"/>
          <w:lang w:bidi="ar"/>
        </w:rPr>
        <w:t>，</w:t>
      </w:r>
      <w:r>
        <w:rPr>
          <w:rFonts w:eastAsiaTheme="minorEastAsia"/>
          <w:szCs w:val="24"/>
          <w:lang w:bidi="ar"/>
        </w:rPr>
        <w:t>承载比最小的队伍得分40分，其他代表队得分为：</w:t>
      </w:r>
    </w:p>
    <w:p w14:paraId="3E32C94A">
      <w:pPr>
        <w:autoSpaceDE w:val="0"/>
        <w:spacing w:line="360" w:lineRule="auto"/>
        <w:ind w:firstLine="0" w:firstLineChars="0"/>
        <w:jc w:val="center"/>
      </w:pPr>
      <w:r>
        <w:rPr>
          <w:position w:val="-30"/>
        </w:rPr>
        <w:object>
          <v:shape id="_x0000_i1029" o:spt="75" type="#_x0000_t75" style="height:33.75pt;width:126pt;" o:ole="t" filled="f" o:preferrelative="t" stroked="f" coordsize="21600,21600">
            <v:path/>
            <v:fill on="f" focussize="0,0"/>
            <v:stroke on="f" joinstyle="miter"/>
            <v:imagedata r:id="rId21" o:title=""/>
            <o:lock v:ext="edit" aspectratio="t"/>
            <w10:wrap type="none"/>
            <w10:anchorlock/>
          </v:shape>
          <o:OLEObject Type="Embed" ProgID="Equation.DSMT4" ShapeID="_x0000_i1029" DrawAspect="Content" ObjectID="_1468075729" r:id="rId20">
            <o:LockedField>false</o:LockedField>
          </o:OLEObject>
        </w:object>
      </w:r>
    </w:p>
    <w:p w14:paraId="1A04B2E2">
      <w:pPr>
        <w:autoSpaceDE w:val="0"/>
        <w:spacing w:line="360" w:lineRule="auto"/>
        <w:ind w:firstLine="0" w:firstLineChars="0"/>
        <w:rPr>
          <w:rFonts w:eastAsiaTheme="minorEastAsia"/>
          <w:szCs w:val="24"/>
          <w:lang w:bidi="ar"/>
        </w:rPr>
      </w:pPr>
      <w:r>
        <w:rPr>
          <w:rFonts w:eastAsiaTheme="minorEastAsia"/>
          <w:szCs w:val="24"/>
          <w:lang w:bidi="ar"/>
        </w:rPr>
        <w:t>式中：</w:t>
      </w:r>
      <w:r>
        <w:rPr>
          <w:rFonts w:eastAsiaTheme="minorEastAsia"/>
          <w:i/>
          <w:szCs w:val="24"/>
          <w:lang w:bidi="ar"/>
        </w:rPr>
        <w:t>S</w:t>
      </w:r>
      <w:r>
        <w:rPr>
          <w:rFonts w:eastAsiaTheme="minorEastAsia"/>
          <w:szCs w:val="24"/>
          <w:lang w:bidi="ar"/>
        </w:rPr>
        <w:t>2</w:t>
      </w:r>
      <w:r>
        <w:rPr>
          <w:rFonts w:eastAsiaTheme="minorEastAsia"/>
          <w:i/>
          <w:szCs w:val="24"/>
          <w:vertAlign w:val="subscript"/>
          <w:lang w:bidi="ar"/>
        </w:rPr>
        <w:t>i</w:t>
      </w:r>
      <w:r>
        <w:rPr>
          <w:rFonts w:eastAsiaTheme="minorEastAsia"/>
          <w:szCs w:val="24"/>
          <w:lang w:bidi="ar"/>
        </w:rPr>
        <w:t>为第</w:t>
      </w:r>
      <w:r>
        <w:rPr>
          <w:rFonts w:eastAsiaTheme="minorEastAsia"/>
          <w:i/>
          <w:szCs w:val="24"/>
          <w:lang w:bidi="ar"/>
        </w:rPr>
        <w:t>i</w:t>
      </w:r>
      <w:r>
        <w:rPr>
          <w:rFonts w:eastAsiaTheme="minorEastAsia"/>
          <w:szCs w:val="24"/>
          <w:lang w:bidi="ar"/>
        </w:rPr>
        <w:t>支代表队得分；</w:t>
      </w:r>
      <w:r>
        <w:rPr>
          <w:rFonts w:eastAsiaTheme="minorEastAsia"/>
          <w:i/>
          <w:szCs w:val="24"/>
          <w:lang w:bidi="ar"/>
        </w:rPr>
        <w:t>k</w:t>
      </w:r>
      <w:r>
        <w:rPr>
          <w:rFonts w:eastAsiaTheme="minorEastAsia"/>
          <w:i/>
          <w:szCs w:val="24"/>
          <w:vertAlign w:val="subscript"/>
          <w:lang w:bidi="ar"/>
        </w:rPr>
        <w:t>i</w:t>
      </w:r>
      <w:r>
        <w:rPr>
          <w:rFonts w:eastAsiaTheme="minorEastAsia"/>
          <w:szCs w:val="24"/>
          <w:lang w:bidi="ar"/>
        </w:rPr>
        <w:t>为第</w:t>
      </w:r>
      <w:r>
        <w:rPr>
          <w:rFonts w:eastAsiaTheme="minorEastAsia"/>
          <w:i/>
          <w:szCs w:val="24"/>
          <w:lang w:bidi="ar"/>
        </w:rPr>
        <w:t>i</w:t>
      </w:r>
      <w:r>
        <w:rPr>
          <w:rFonts w:eastAsiaTheme="minorEastAsia"/>
          <w:szCs w:val="24"/>
          <w:lang w:bidi="ar"/>
        </w:rPr>
        <w:t>支代表队的基坑支护模型承载比；</w:t>
      </w:r>
      <w:r>
        <w:rPr>
          <w:rFonts w:eastAsiaTheme="minorEastAsia"/>
          <w:i/>
          <w:szCs w:val="24"/>
          <w:lang w:bidi="ar"/>
        </w:rPr>
        <w:t>k</w:t>
      </w:r>
      <w:r>
        <w:rPr>
          <w:rFonts w:eastAsiaTheme="minorEastAsia"/>
          <w:szCs w:val="24"/>
          <w:vertAlign w:val="subscript"/>
          <w:lang w:bidi="ar"/>
        </w:rPr>
        <w:t>min</w:t>
      </w:r>
      <w:r>
        <w:rPr>
          <w:rFonts w:eastAsiaTheme="minorEastAsia"/>
          <w:szCs w:val="24"/>
          <w:lang w:bidi="ar"/>
        </w:rPr>
        <w:t>为所有完成参赛代表队中基坑支护模型承载比最小值；</w:t>
      </w:r>
      <w:r>
        <w:rPr>
          <w:rFonts w:eastAsiaTheme="minorEastAsia"/>
          <w:i/>
          <w:szCs w:val="24"/>
          <w:lang w:bidi="ar"/>
        </w:rPr>
        <w:t>k</w:t>
      </w:r>
      <w:r>
        <w:rPr>
          <w:rFonts w:eastAsiaTheme="minorEastAsia"/>
          <w:szCs w:val="24"/>
          <w:vertAlign w:val="subscript"/>
          <w:lang w:bidi="ar"/>
        </w:rPr>
        <w:t>max</w:t>
      </w:r>
      <w:r>
        <w:rPr>
          <w:rFonts w:eastAsiaTheme="minorEastAsia"/>
          <w:szCs w:val="24"/>
          <w:lang w:bidi="ar"/>
        </w:rPr>
        <w:t>为所有完成参赛代表队中基坑支护模型承载比最大值。</w:t>
      </w:r>
    </w:p>
    <w:p w14:paraId="3A1EA136">
      <w:pPr>
        <w:autoSpaceDE w:val="0"/>
        <w:spacing w:line="360" w:lineRule="auto"/>
        <w:ind w:firstLine="480"/>
        <w:rPr>
          <w:szCs w:val="24"/>
          <w:lang w:bidi="ar"/>
        </w:rPr>
      </w:pPr>
      <w:r>
        <w:rPr>
          <w:rFonts w:eastAsia="TimesNewRomanPSMT"/>
          <w:szCs w:val="24"/>
          <w:lang w:bidi="ar"/>
        </w:rPr>
        <w:t>③</w:t>
      </w:r>
      <w:r>
        <w:rPr>
          <w:rFonts w:eastAsia="TimesNewRomanPSMT"/>
          <w:i/>
          <w:szCs w:val="24"/>
          <w:lang w:bidi="ar"/>
        </w:rPr>
        <w:t>S</w:t>
      </w:r>
      <w:r>
        <w:rPr>
          <w:rFonts w:eastAsia="TimesNewRomanPSMT"/>
          <w:szCs w:val="24"/>
          <w:lang w:bidi="ar"/>
        </w:rPr>
        <w:t>3</w:t>
      </w:r>
      <w:r>
        <w:rPr>
          <w:szCs w:val="24"/>
          <w:lang w:bidi="ar"/>
        </w:rPr>
        <w:t>为模型制作耗时</w:t>
      </w:r>
      <w:r>
        <w:rPr>
          <w:rFonts w:eastAsiaTheme="minorEastAsia"/>
          <w:szCs w:val="24"/>
          <w:lang w:bidi="ar"/>
        </w:rPr>
        <w:t>得分，最高100分</w:t>
      </w:r>
      <w:r>
        <w:rPr>
          <w:szCs w:val="24"/>
          <w:lang w:bidi="ar"/>
        </w:rPr>
        <w:t>，其计算为：</w:t>
      </w:r>
    </w:p>
    <w:p w14:paraId="22FEEDFC">
      <w:pPr>
        <w:autoSpaceDE w:val="0"/>
        <w:spacing w:line="360" w:lineRule="auto"/>
        <w:ind w:firstLine="0" w:firstLineChars="0"/>
        <w:jc w:val="center"/>
        <w:rPr>
          <w:szCs w:val="24"/>
          <w:lang w:bidi="ar"/>
        </w:rPr>
      </w:pPr>
      <m:oMathPara>
        <m:oMath>
          <m:r>
            <m:rPr>
              <m:nor/>
            </m:rPr>
            <w:rPr>
              <w:i/>
            </w:rPr>
            <m:t>S</m:t>
          </m:r>
          <m:sSub>
            <m:sSubPr>
              <m:ctrlPr>
                <w:rPr>
                  <w:rFonts w:ascii="Cambria Math" w:hAnsi="Cambria Math"/>
                </w:rPr>
              </m:ctrlPr>
            </m:sSubPr>
            <m:e>
              <m:r>
                <m:rPr>
                  <m:nor/>
                  <m:sty m:val="p"/>
                </m:rPr>
                <w:rPr>
                  <w:b w:val="0"/>
                  <w:i w:val="0"/>
                </w:rPr>
                <m:t>3</m:t>
              </m:r>
              <m:ctrlPr>
                <w:rPr>
                  <w:rFonts w:ascii="Cambria Math" w:hAnsi="Cambria Math"/>
                </w:rPr>
              </m:ctrlPr>
            </m:e>
            <m:sub>
              <m:r>
                <m:rPr>
                  <m:nor/>
                </m:rPr>
                <w:rPr>
                  <w:i/>
                </w:rPr>
                <m:t>i</m:t>
              </m:r>
              <m:ctrlPr>
                <w:rPr>
                  <w:rFonts w:ascii="Cambria Math" w:hAnsi="Cambria Math"/>
                </w:rPr>
              </m:ctrlPr>
            </m:sub>
          </m:sSub>
          <m:r>
            <m:rPr>
              <m:nor/>
              <m:sty m:val="p"/>
            </m:rPr>
            <w:rPr>
              <w:rFonts w:ascii="Cambria Math" w:hAnsi="Cambria Math"/>
              <w:b w:val="0"/>
              <w:i w:val="0"/>
            </w:rPr>
            <m:t xml:space="preserve"> </m:t>
          </m:r>
          <m:r>
            <m:rPr>
              <m:nor/>
              <m:sty m:val="p"/>
            </m:rPr>
            <w:rPr>
              <w:b w:val="0"/>
              <w:i w:val="0"/>
            </w:rPr>
            <m:t>= 60 + 40 ×</m:t>
          </m:r>
          <m:f>
            <m:fPr>
              <m:ctrlPr>
                <w:rPr>
                  <w:rFonts w:ascii="Cambria Math" w:hAnsi="Cambria Math"/>
                </w:rPr>
              </m:ctrlPr>
            </m:fPr>
            <m:num>
              <m:r>
                <m:rPr>
                  <m:nor/>
                  <m:sty m:val="p"/>
                </m:rPr>
                <w:rPr>
                  <w:b w:val="0"/>
                  <w:i w:val="0"/>
                </w:rPr>
                <m:t>120 -</m:t>
              </m:r>
              <m:sSub>
                <m:sSubPr>
                  <m:ctrlPr>
                    <w:rPr>
                      <w:rFonts w:ascii="Cambria Math" w:hAnsi="Cambria Math"/>
                    </w:rPr>
                  </m:ctrlPr>
                </m:sSubPr>
                <m:e>
                  <m:r>
                    <m:rPr>
                      <m:nor/>
                    </m:rPr>
                    <w:rPr>
                      <w:i/>
                    </w:rPr>
                    <m:t>T</m:t>
                  </m:r>
                  <m:ctrlPr>
                    <w:rPr>
                      <w:rFonts w:ascii="Cambria Math" w:hAnsi="Cambria Math"/>
                    </w:rPr>
                  </m:ctrlPr>
                </m:e>
                <m:sub>
                  <m:r>
                    <m:rPr>
                      <m:nor/>
                    </m:rPr>
                    <w:rPr>
                      <w:i/>
                    </w:rPr>
                    <m:t>i</m:t>
                  </m:r>
                  <m:ctrlPr>
                    <w:rPr>
                      <w:rFonts w:ascii="Cambria Math" w:hAnsi="Cambria Math"/>
                    </w:rPr>
                  </m:ctrlPr>
                </m:sub>
              </m:sSub>
              <m:ctrlPr>
                <w:rPr>
                  <w:rFonts w:ascii="Cambria Math" w:hAnsi="Cambria Math"/>
                </w:rPr>
              </m:ctrlPr>
            </m:num>
            <m:den>
              <m:r>
                <m:rPr>
                  <m:nor/>
                  <m:sty m:val="p"/>
                </m:rPr>
                <w:rPr>
                  <w:b w:val="0"/>
                  <w:i w:val="0"/>
                </w:rPr>
                <m:t>30</m:t>
              </m:r>
              <m:ctrlPr>
                <w:rPr>
                  <w:rFonts w:ascii="Cambria Math" w:hAnsi="Cambria Math"/>
                </w:rPr>
              </m:ctrlPr>
            </m:den>
          </m:f>
        </m:oMath>
      </m:oMathPara>
    </w:p>
    <w:p w14:paraId="60054C40">
      <w:pPr>
        <w:autoSpaceDE w:val="0"/>
        <w:spacing w:line="360" w:lineRule="auto"/>
        <w:ind w:firstLine="0" w:firstLineChars="0"/>
        <w:rPr>
          <w:rFonts w:eastAsiaTheme="minorEastAsia"/>
          <w:szCs w:val="24"/>
          <w:lang w:bidi="ar"/>
        </w:rPr>
      </w:pPr>
      <w:r>
        <w:rPr>
          <w:rFonts w:eastAsiaTheme="minorEastAsia"/>
          <w:szCs w:val="24"/>
          <w:lang w:bidi="ar"/>
        </w:rPr>
        <w:t>式中：</w:t>
      </w:r>
      <w:r>
        <w:rPr>
          <w:rFonts w:eastAsia="TimesNewRomanPSMT"/>
          <w:i/>
          <w:szCs w:val="24"/>
          <w:lang w:bidi="ar"/>
        </w:rPr>
        <w:t>T</w:t>
      </w:r>
      <w:r>
        <w:rPr>
          <w:rFonts w:eastAsia="TimesNewRomanPSMT"/>
          <w:i/>
          <w:szCs w:val="24"/>
          <w:vertAlign w:val="subscript"/>
          <w:lang w:bidi="ar"/>
        </w:rPr>
        <w:t>i</w:t>
      </w:r>
      <w:r>
        <w:rPr>
          <w:szCs w:val="24"/>
          <w:lang w:bidi="ar"/>
        </w:rPr>
        <w:t>为</w:t>
      </w:r>
      <w:r>
        <w:rPr>
          <w:rFonts w:eastAsiaTheme="minorEastAsia"/>
          <w:szCs w:val="24"/>
          <w:lang w:bidi="ar"/>
        </w:rPr>
        <w:t>第</w:t>
      </w:r>
      <w:r>
        <w:rPr>
          <w:rFonts w:eastAsiaTheme="minorEastAsia"/>
          <w:i/>
          <w:szCs w:val="24"/>
          <w:lang w:bidi="ar"/>
        </w:rPr>
        <w:t>i</w:t>
      </w:r>
      <w:r>
        <w:rPr>
          <w:rFonts w:eastAsiaTheme="minorEastAsia"/>
          <w:szCs w:val="24"/>
          <w:lang w:bidi="ar"/>
        </w:rPr>
        <w:t>支代表队模型制作的</w:t>
      </w:r>
      <w:r>
        <w:rPr>
          <w:szCs w:val="24"/>
          <w:lang w:bidi="ar"/>
        </w:rPr>
        <w:t>耗时（单位：</w:t>
      </w:r>
      <w:r>
        <w:rPr>
          <w:rFonts w:eastAsia="TimesNewRomanPSMT"/>
          <w:szCs w:val="24"/>
          <w:lang w:bidi="ar"/>
        </w:rPr>
        <w:t>min</w:t>
      </w:r>
      <w:r>
        <w:rPr>
          <w:szCs w:val="24"/>
          <w:lang w:bidi="ar"/>
        </w:rPr>
        <w:t>）。</w:t>
      </w:r>
    </w:p>
    <w:p w14:paraId="22F87EA4">
      <w:pPr>
        <w:autoSpaceDE w:val="0"/>
        <w:spacing w:line="360" w:lineRule="auto"/>
        <w:ind w:firstLine="480"/>
        <w:rPr>
          <w:szCs w:val="24"/>
          <w:lang w:bidi="ar"/>
        </w:rPr>
      </w:pPr>
      <w:r>
        <w:rPr>
          <w:rFonts w:eastAsia="TimesNewRomanPSMT"/>
          <w:szCs w:val="24"/>
          <w:lang w:bidi="ar"/>
        </w:rPr>
        <w:t>④</w:t>
      </w:r>
      <w:r>
        <w:rPr>
          <w:rFonts w:eastAsia="TimesNewRomanPSMT"/>
          <w:i/>
          <w:szCs w:val="24"/>
          <w:lang w:bidi="ar"/>
        </w:rPr>
        <w:t>S</w:t>
      </w:r>
      <w:r>
        <w:rPr>
          <w:rFonts w:eastAsia="TimesNewRomanPSMT"/>
          <w:szCs w:val="24"/>
          <w:lang w:bidi="ar"/>
        </w:rPr>
        <w:t>4</w:t>
      </w:r>
      <w:r>
        <w:rPr>
          <w:szCs w:val="24"/>
          <w:lang w:bidi="ar"/>
        </w:rPr>
        <w:t>为加载沉降得分，其计算为：</w:t>
      </w:r>
    </w:p>
    <w:p w14:paraId="7A7B01AB">
      <w:pPr>
        <w:autoSpaceDE w:val="0"/>
        <w:spacing w:line="360" w:lineRule="auto"/>
        <w:ind w:firstLine="0" w:firstLineChars="0"/>
        <w:jc w:val="center"/>
        <w:rPr>
          <w:szCs w:val="24"/>
          <w:lang w:bidi="ar"/>
        </w:rPr>
      </w:pPr>
      <w:r>
        <w:rPr>
          <w:position w:val="-24"/>
        </w:rPr>
        <w:object>
          <v:shape id="_x0000_i1030" o:spt="75" type="#_x0000_t75" style="height:30.75pt;width:127.5pt;" o:ole="t" filled="f" o:preferrelative="t" stroked="f" coordsize="21600,21600">
            <v:path/>
            <v:fill on="f" focussize="0,0"/>
            <v:stroke on="f" joinstyle="miter"/>
            <v:imagedata r:id="rId23" o:title=""/>
            <o:lock v:ext="edit" aspectratio="t"/>
            <w10:wrap type="none"/>
            <w10:anchorlock/>
          </v:shape>
          <o:OLEObject Type="Embed" ProgID="Equation.DSMT4" ShapeID="_x0000_i1030" DrawAspect="Content" ObjectID="_1468075730" r:id="rId22">
            <o:LockedField>false</o:LockedField>
          </o:OLEObject>
        </w:object>
      </w:r>
    </w:p>
    <w:p w14:paraId="35957A83">
      <w:pPr>
        <w:autoSpaceDE w:val="0"/>
        <w:spacing w:line="360" w:lineRule="auto"/>
        <w:ind w:firstLine="0" w:firstLineChars="0"/>
        <w:rPr>
          <w:iCs/>
          <w:szCs w:val="24"/>
          <w:lang w:bidi="ar"/>
        </w:rPr>
      </w:pPr>
      <w:r>
        <w:rPr>
          <w:szCs w:val="24"/>
          <w:lang w:bidi="ar"/>
        </w:rPr>
        <w:t>式中：</w:t>
      </w:r>
      <w:r>
        <w:rPr>
          <w:rFonts w:eastAsia="TimesNewRomanPSMT"/>
          <w:i/>
          <w:szCs w:val="24"/>
          <w:lang w:bidi="ar"/>
        </w:rPr>
        <w:t>δ</w:t>
      </w:r>
      <w:r>
        <w:rPr>
          <w:rFonts w:eastAsia="TimesNewRomanPSMT"/>
          <w:i/>
          <w:szCs w:val="24"/>
          <w:vertAlign w:val="subscript"/>
          <w:lang w:bidi="ar"/>
        </w:rPr>
        <w:t>i</w:t>
      </w:r>
      <w:r>
        <w:rPr>
          <w:szCs w:val="24"/>
          <w:lang w:bidi="ar"/>
        </w:rPr>
        <w:t>为</w:t>
      </w:r>
      <w:r>
        <w:rPr>
          <w:rFonts w:eastAsiaTheme="minorEastAsia"/>
          <w:szCs w:val="24"/>
          <w:lang w:bidi="ar"/>
        </w:rPr>
        <w:t>第</w:t>
      </w:r>
      <w:r>
        <w:rPr>
          <w:rFonts w:eastAsiaTheme="minorEastAsia"/>
          <w:i/>
          <w:szCs w:val="24"/>
          <w:lang w:bidi="ar"/>
        </w:rPr>
        <w:t>i</w:t>
      </w:r>
      <w:r>
        <w:rPr>
          <w:rFonts w:eastAsiaTheme="minorEastAsia"/>
          <w:szCs w:val="24"/>
          <w:lang w:bidi="ar"/>
        </w:rPr>
        <w:t>支代表队</w:t>
      </w:r>
      <w:r>
        <w:rPr>
          <w:szCs w:val="24"/>
          <w:lang w:bidi="ar"/>
        </w:rPr>
        <w:t>加载沉降量（单位：</w:t>
      </w:r>
      <w:r>
        <w:rPr>
          <w:rFonts w:eastAsia="TimesNewRomanPSMT"/>
          <w:szCs w:val="24"/>
          <w:lang w:bidi="ar"/>
        </w:rPr>
        <w:t>mm</w:t>
      </w:r>
      <w:r>
        <w:rPr>
          <w:szCs w:val="24"/>
          <w:lang w:bidi="ar"/>
        </w:rPr>
        <w:t>），取小数点后一位</w:t>
      </w:r>
      <w:r>
        <w:rPr>
          <w:iCs/>
          <w:szCs w:val="24"/>
          <w:lang w:bidi="ar"/>
        </w:rPr>
        <w:t>。</w:t>
      </w:r>
    </w:p>
    <w:p w14:paraId="3903D283">
      <w:pPr>
        <w:autoSpaceDE w:val="0"/>
        <w:spacing w:line="360" w:lineRule="auto"/>
        <w:ind w:firstLine="480"/>
        <w:rPr>
          <w:rFonts w:eastAsiaTheme="minorEastAsia"/>
          <w:szCs w:val="24"/>
        </w:rPr>
      </w:pPr>
      <w:r>
        <w:rPr>
          <w:rFonts w:eastAsia="方正仿宋_GB2312"/>
          <w:szCs w:val="24"/>
          <w:lang w:bidi="ar"/>
        </w:rPr>
        <w:t>⑤</w:t>
      </w:r>
      <w:r>
        <w:rPr>
          <w:rFonts w:eastAsiaTheme="minorEastAsia"/>
          <w:i/>
          <w:iCs/>
          <w:szCs w:val="24"/>
        </w:rPr>
        <w:t>S</w:t>
      </w:r>
      <w:r>
        <w:rPr>
          <w:rFonts w:eastAsiaTheme="minorEastAsia"/>
          <w:szCs w:val="24"/>
        </w:rPr>
        <w:t>5为复合地基增强体质量超150g的扣分，</w:t>
      </w:r>
      <w:r>
        <w:rPr>
          <w:rFonts w:hint="eastAsia" w:eastAsiaTheme="minorEastAsia"/>
          <w:szCs w:val="24"/>
          <w:lang w:val="en-US" w:eastAsia="zh-CN"/>
        </w:rPr>
        <w:t>最多扣60分，</w:t>
      </w:r>
      <w:r>
        <w:rPr>
          <w:rFonts w:eastAsiaTheme="minorEastAsia"/>
          <w:szCs w:val="24"/>
        </w:rPr>
        <w:t>其计算为：</w:t>
      </w:r>
    </w:p>
    <w:p w14:paraId="0EC151AF">
      <w:pPr>
        <w:autoSpaceDE w:val="0"/>
        <w:spacing w:line="360" w:lineRule="auto"/>
        <w:ind w:firstLine="0" w:firstLineChars="0"/>
        <w:jc w:val="center"/>
        <w:rPr>
          <w:rFonts w:eastAsiaTheme="minorEastAsia"/>
          <w:szCs w:val="24"/>
        </w:rPr>
      </w:pPr>
      <w:r>
        <w:rPr>
          <w:position w:val="-14"/>
        </w:rPr>
        <w:object>
          <v:shape id="_x0000_i1031" o:spt="75" type="#_x0000_t75" style="height:20.25pt;width:131.25pt;" o:ole="t" filled="f" o:preferrelative="t" stroked="f" coordsize="21600,21600">
            <v:path/>
            <v:fill on="f" focussize="0,0"/>
            <v:stroke on="f" joinstyle="miter"/>
            <v:imagedata r:id="rId25" o:title=""/>
            <o:lock v:ext="edit" aspectratio="t"/>
            <w10:wrap type="none"/>
            <w10:anchorlock/>
          </v:shape>
          <o:OLEObject Type="Embed" ProgID="Equation.DSMT4" ShapeID="_x0000_i1031" DrawAspect="Content" ObjectID="_1468075731" r:id="rId24">
            <o:LockedField>false</o:LockedField>
          </o:OLEObject>
        </w:object>
      </w:r>
    </w:p>
    <w:p w14:paraId="1E24D66F">
      <w:pPr>
        <w:autoSpaceDE w:val="0"/>
        <w:spacing w:line="360" w:lineRule="auto"/>
        <w:ind w:firstLine="0" w:firstLineChars="0"/>
        <w:rPr>
          <w:szCs w:val="24"/>
          <w:lang w:bidi="ar"/>
        </w:rPr>
      </w:pPr>
      <w:r>
        <w:rPr>
          <w:rFonts w:eastAsiaTheme="minorEastAsia"/>
          <w:szCs w:val="24"/>
        </w:rPr>
        <w:t>式中：</w:t>
      </w:r>
      <w:r>
        <w:rPr>
          <w:rFonts w:eastAsiaTheme="minorEastAsia"/>
          <w:i/>
          <w:iCs/>
          <w:szCs w:val="24"/>
        </w:rPr>
        <w:t>G</w:t>
      </w:r>
      <w:r>
        <w:rPr>
          <w:rFonts w:eastAsiaTheme="minorEastAsia"/>
          <w:szCs w:val="24"/>
          <w:vertAlign w:val="subscript"/>
        </w:rPr>
        <w:t>i</w:t>
      </w:r>
      <w:r>
        <w:rPr>
          <w:rFonts w:eastAsiaTheme="minorEastAsia"/>
          <w:szCs w:val="24"/>
        </w:rPr>
        <w:t>为</w:t>
      </w:r>
      <w:r>
        <w:rPr>
          <w:rFonts w:eastAsiaTheme="minorEastAsia"/>
          <w:szCs w:val="24"/>
          <w:lang w:bidi="ar"/>
        </w:rPr>
        <w:t>第</w:t>
      </w:r>
      <w:r>
        <w:rPr>
          <w:rFonts w:eastAsiaTheme="minorEastAsia"/>
          <w:i/>
          <w:szCs w:val="24"/>
          <w:lang w:bidi="ar"/>
        </w:rPr>
        <w:t>i</w:t>
      </w:r>
      <w:r>
        <w:rPr>
          <w:rFonts w:eastAsiaTheme="minorEastAsia"/>
          <w:szCs w:val="24"/>
          <w:lang w:bidi="ar"/>
        </w:rPr>
        <w:t>支代表队复合地基</w:t>
      </w:r>
      <w:r>
        <w:rPr>
          <w:rFonts w:eastAsiaTheme="minorEastAsia"/>
          <w:szCs w:val="24"/>
        </w:rPr>
        <w:t>增强体质量</w:t>
      </w:r>
      <w:r>
        <w:rPr>
          <w:szCs w:val="24"/>
          <w:lang w:bidi="ar"/>
        </w:rPr>
        <w:t>（单位：</w:t>
      </w:r>
      <w:r>
        <w:rPr>
          <w:rFonts w:eastAsia="TimesNewRomanPSMT"/>
          <w:szCs w:val="24"/>
          <w:lang w:bidi="ar"/>
        </w:rPr>
        <w:t>g</w:t>
      </w:r>
      <w:r>
        <w:rPr>
          <w:szCs w:val="24"/>
          <w:lang w:bidi="ar"/>
        </w:rPr>
        <w:t>）。</w:t>
      </w:r>
    </w:p>
    <w:p w14:paraId="21F37D2C">
      <w:pPr>
        <w:autoSpaceDE w:val="0"/>
        <w:spacing w:line="360" w:lineRule="auto"/>
        <w:ind w:firstLine="480"/>
        <w:rPr>
          <w:rFonts w:eastAsiaTheme="minorEastAsia"/>
          <w:szCs w:val="24"/>
        </w:rPr>
      </w:pPr>
      <w:r>
        <w:rPr>
          <w:rFonts w:eastAsiaTheme="minorEastAsia"/>
          <w:szCs w:val="24"/>
        </w:rPr>
        <w:t>（2）</w:t>
      </w:r>
      <w:r>
        <w:rPr>
          <w:rFonts w:eastAsia="TimesNewRomanPSMT"/>
          <w:szCs w:val="24"/>
          <w:lang w:bidi="ar"/>
        </w:rPr>
        <w:t>B</w:t>
      </w:r>
      <w:r>
        <w:rPr>
          <w:szCs w:val="24"/>
          <w:lang w:bidi="ar"/>
        </w:rPr>
        <w:t>档排序：计分方式同</w:t>
      </w:r>
      <w:r>
        <w:rPr>
          <w:rFonts w:eastAsia="TimesNewRomanPSMT"/>
          <w:szCs w:val="24"/>
          <w:lang w:bidi="ar"/>
        </w:rPr>
        <w:t>A</w:t>
      </w:r>
      <w:r>
        <w:rPr>
          <w:szCs w:val="24"/>
          <w:lang w:bidi="ar"/>
        </w:rPr>
        <w:t>档一致。</w:t>
      </w:r>
    </w:p>
    <w:p w14:paraId="4EEF0D63">
      <w:pPr>
        <w:autoSpaceDE w:val="0"/>
        <w:spacing w:line="360" w:lineRule="auto"/>
        <w:ind w:firstLine="480"/>
        <w:rPr>
          <w:rFonts w:eastAsia="TimesNewRomanPSMT"/>
          <w:szCs w:val="24"/>
        </w:rPr>
      </w:pPr>
      <w:r>
        <w:rPr>
          <w:szCs w:val="24"/>
          <w:lang w:bidi="ar"/>
        </w:rPr>
        <w:t>（3）</w:t>
      </w:r>
      <w:r>
        <w:rPr>
          <w:rFonts w:eastAsia="TimesNewRomanPSMT"/>
          <w:szCs w:val="24"/>
          <w:lang w:bidi="ar"/>
        </w:rPr>
        <w:t>C</w:t>
      </w:r>
      <w:r>
        <w:rPr>
          <w:szCs w:val="24"/>
          <w:lang w:bidi="ar"/>
        </w:rPr>
        <w:t>档排序：对于加载失败的参赛队，取加载失败时的前一级荷载为最终荷载，取对应最终荷载的位移为沉降量，计分方式同</w:t>
      </w:r>
      <w:r>
        <w:rPr>
          <w:rFonts w:eastAsia="TimesNewRomanPSMT"/>
          <w:szCs w:val="24"/>
          <w:lang w:bidi="ar"/>
        </w:rPr>
        <w:t>A</w:t>
      </w:r>
      <w:r>
        <w:rPr>
          <w:szCs w:val="24"/>
          <w:lang w:bidi="ar"/>
        </w:rPr>
        <w:t>档一致。</w:t>
      </w:r>
    </w:p>
    <w:p w14:paraId="3166E553">
      <w:pPr>
        <w:autoSpaceDE w:val="0"/>
        <w:spacing w:line="360" w:lineRule="auto"/>
        <w:ind w:firstLine="482"/>
        <w:outlineLvl w:val="1"/>
        <w:rPr>
          <w:b/>
          <w:bCs/>
          <w:szCs w:val="24"/>
        </w:rPr>
      </w:pPr>
      <w:r>
        <w:rPr>
          <w:rStyle w:val="19"/>
          <w:rFonts w:ascii="Times New Roman" w:hAnsi="Times New Roman" w:cs="Times New Roman"/>
          <w:b/>
          <w:bCs/>
          <w:color w:val="auto"/>
        </w:rPr>
        <w:t xml:space="preserve">2. </w:t>
      </w:r>
      <w:r>
        <w:rPr>
          <w:b/>
          <w:bCs/>
          <w:szCs w:val="24"/>
          <w:lang w:bidi="ar"/>
        </w:rPr>
        <w:t>如果对结果有争议或出现得分相同的情况，则由评审小组投票决定得分和排序。违反比赛规定和公平比赛精神的将由评审小组讨论后取消参赛资格或评比资格。</w:t>
      </w:r>
    </w:p>
    <w:p w14:paraId="13AC420D">
      <w:pPr>
        <w:widowControl/>
        <w:ind w:firstLine="0" w:firstLineChars="0"/>
        <w:jc w:val="left"/>
        <w:outlineLvl w:val="0"/>
        <w:rPr>
          <w:b/>
          <w:bCs/>
          <w:kern w:val="0"/>
          <w:sz w:val="32"/>
          <w:szCs w:val="32"/>
          <w:lang w:bidi="ar"/>
        </w:rPr>
      </w:pPr>
      <w:r>
        <w:rPr>
          <w:b/>
          <w:bCs/>
          <w:kern w:val="0"/>
          <w:sz w:val="32"/>
          <w:szCs w:val="32"/>
          <w:lang w:bidi="ar"/>
        </w:rPr>
        <w:t>八、竞赛程序</w:t>
      </w:r>
    </w:p>
    <w:p w14:paraId="70724135">
      <w:pPr>
        <w:spacing w:line="360" w:lineRule="auto"/>
        <w:ind w:firstLine="480"/>
        <w:rPr>
          <w:szCs w:val="24"/>
        </w:rPr>
      </w:pPr>
      <w:r>
        <w:rPr>
          <w:szCs w:val="24"/>
        </w:rPr>
        <w:t>（1）各参赛队伍按照抽签号码，找到对应工作台，完成模型制作；</w:t>
      </w:r>
    </w:p>
    <w:p w14:paraId="5A9A8662">
      <w:pPr>
        <w:spacing w:line="360" w:lineRule="auto"/>
        <w:ind w:firstLine="480"/>
        <w:rPr>
          <w:szCs w:val="24"/>
        </w:rPr>
      </w:pPr>
      <w:r>
        <w:rPr>
          <w:szCs w:val="24"/>
        </w:rPr>
        <w:t>（2）现场工作人员协助评审专家组完成对模型的尺寸校核及外观检查；</w:t>
      </w:r>
    </w:p>
    <w:p w14:paraId="73E44026">
      <w:pPr>
        <w:spacing w:line="360" w:lineRule="auto"/>
        <w:ind w:firstLine="480"/>
        <w:rPr>
          <w:szCs w:val="24"/>
        </w:rPr>
      </w:pPr>
      <w:r>
        <w:rPr>
          <w:szCs w:val="24"/>
        </w:rPr>
        <w:t>（3）称量作品的质量，精确到0.1g；</w:t>
      </w:r>
    </w:p>
    <w:p w14:paraId="7DCDD343">
      <w:pPr>
        <w:spacing w:line="360" w:lineRule="auto"/>
        <w:ind w:firstLine="480"/>
        <w:rPr>
          <w:szCs w:val="24"/>
        </w:rPr>
      </w:pPr>
      <w:r>
        <w:rPr>
          <w:szCs w:val="24"/>
        </w:rPr>
        <w:t>（4）当一个代表队比赛结束后，下一组便可进行模型安装；</w:t>
      </w:r>
    </w:p>
    <w:p w14:paraId="55C5A766">
      <w:pPr>
        <w:spacing w:line="360" w:lineRule="auto"/>
        <w:ind w:firstLine="480"/>
        <w:rPr>
          <w:szCs w:val="24"/>
        </w:rPr>
      </w:pPr>
      <w:r>
        <w:rPr>
          <w:szCs w:val="24"/>
        </w:rPr>
        <w:t>（5）模型安装现场检查合格后，方可进行分级加载；</w:t>
      </w:r>
    </w:p>
    <w:p w14:paraId="2CB05C5C">
      <w:pPr>
        <w:spacing w:line="360" w:lineRule="auto"/>
        <w:ind w:firstLine="480"/>
        <w:rPr>
          <w:szCs w:val="24"/>
        </w:rPr>
      </w:pPr>
      <w:r>
        <w:rPr>
          <w:szCs w:val="24"/>
        </w:rPr>
        <w:t>（6）开始分级加载后，加载过程严格按前述加载要求进行；</w:t>
      </w:r>
    </w:p>
    <w:p w14:paraId="47CA8F1C">
      <w:pPr>
        <w:spacing w:line="360" w:lineRule="auto"/>
        <w:ind w:firstLine="480"/>
        <w:rPr>
          <w:szCs w:val="24"/>
        </w:rPr>
      </w:pPr>
      <w:r>
        <w:rPr>
          <w:szCs w:val="24"/>
        </w:rPr>
        <w:t>（7）加载完毕后，向参赛代表队宣布加载质量，核对无误后，队长签字确认。</w:t>
      </w:r>
    </w:p>
    <w:p w14:paraId="4FEA7E6C">
      <w:pPr>
        <w:widowControl/>
        <w:ind w:firstLine="0" w:firstLineChars="0"/>
        <w:jc w:val="left"/>
        <w:outlineLvl w:val="0"/>
        <w:rPr>
          <w:b/>
          <w:bCs/>
          <w:kern w:val="0"/>
          <w:sz w:val="32"/>
          <w:szCs w:val="32"/>
          <w:lang w:bidi="ar"/>
        </w:rPr>
      </w:pPr>
      <w:r>
        <w:rPr>
          <w:b/>
          <w:bCs/>
          <w:kern w:val="0"/>
          <w:sz w:val="32"/>
          <w:szCs w:val="32"/>
          <w:lang w:bidi="ar"/>
        </w:rPr>
        <w:t>九、其他事宜</w:t>
      </w:r>
    </w:p>
    <w:p w14:paraId="6957988E">
      <w:pPr>
        <w:spacing w:line="360" w:lineRule="auto"/>
        <w:ind w:firstLine="482"/>
        <w:outlineLvl w:val="1"/>
        <w:rPr>
          <w:b/>
          <w:szCs w:val="24"/>
        </w:rPr>
      </w:pPr>
      <w:r>
        <w:rPr>
          <w:b/>
          <w:szCs w:val="24"/>
        </w:rPr>
        <w:t>1. 赛前会议</w:t>
      </w:r>
    </w:p>
    <w:p w14:paraId="24EC6246">
      <w:pPr>
        <w:spacing w:line="360" w:lineRule="auto"/>
        <w:ind w:firstLine="480"/>
        <w:rPr>
          <w:szCs w:val="24"/>
        </w:rPr>
      </w:pPr>
      <w:r>
        <w:rPr>
          <w:szCs w:val="24"/>
        </w:rPr>
        <w:t>赛前会议将在正式比赛前一天召开，主要内容如下：按参赛队伍报名先后顺序由各参赛队代表随机抽取编号（该编号为模型制作期间座位号、作品编号及加载顺序号）、收集参赛代表队信息、熟悉场地和试验加载设备等。该会议每个参赛代表队队长必须出席（或指派特定人员），指导教师和代表队其他队员也可参加。具体的会议时间与地点参见会议手册，未签到的参赛代表队将取消参赛资格。</w:t>
      </w:r>
    </w:p>
    <w:p w14:paraId="5B31B3F1">
      <w:pPr>
        <w:spacing w:line="360" w:lineRule="auto"/>
        <w:ind w:firstLine="482"/>
        <w:outlineLvl w:val="1"/>
        <w:rPr>
          <w:b/>
          <w:bCs/>
          <w:szCs w:val="24"/>
        </w:rPr>
      </w:pPr>
      <w:r>
        <w:rPr>
          <w:b/>
          <w:bCs/>
          <w:szCs w:val="24"/>
        </w:rPr>
        <w:t>2. 奖项设置</w:t>
      </w:r>
    </w:p>
    <w:p w14:paraId="5D2C1A28">
      <w:pPr>
        <w:spacing w:line="360" w:lineRule="auto"/>
        <w:ind w:firstLine="480"/>
        <w:rPr>
          <w:szCs w:val="24"/>
        </w:rPr>
      </w:pPr>
      <w:r>
        <w:rPr>
          <w:szCs w:val="24"/>
        </w:rPr>
        <w:t>特等奖：决赛作品数量的5%；</w:t>
      </w:r>
    </w:p>
    <w:p w14:paraId="3440ACB1">
      <w:pPr>
        <w:spacing w:line="360" w:lineRule="auto"/>
        <w:ind w:firstLine="480"/>
        <w:rPr>
          <w:szCs w:val="24"/>
        </w:rPr>
      </w:pPr>
      <w:r>
        <w:rPr>
          <w:szCs w:val="24"/>
        </w:rPr>
        <w:t>一等奖：决赛作品数量的10%；</w:t>
      </w:r>
    </w:p>
    <w:p w14:paraId="45CF00E2">
      <w:pPr>
        <w:spacing w:line="360" w:lineRule="auto"/>
        <w:ind w:firstLine="480"/>
        <w:rPr>
          <w:szCs w:val="24"/>
        </w:rPr>
      </w:pPr>
      <w:r>
        <w:rPr>
          <w:szCs w:val="24"/>
        </w:rPr>
        <w:t>二等奖：决赛作品数量的20%；</w:t>
      </w:r>
    </w:p>
    <w:p w14:paraId="2ECA8686">
      <w:pPr>
        <w:spacing w:line="360" w:lineRule="auto"/>
        <w:ind w:firstLine="480"/>
        <w:rPr>
          <w:szCs w:val="24"/>
        </w:rPr>
      </w:pPr>
      <w:r>
        <w:rPr>
          <w:szCs w:val="24"/>
        </w:rPr>
        <w:t>三等奖：决赛作品数量的35%；</w:t>
      </w:r>
    </w:p>
    <w:p w14:paraId="59B839BA">
      <w:pPr>
        <w:spacing w:line="360" w:lineRule="auto"/>
        <w:ind w:firstLine="480"/>
        <w:rPr>
          <w:szCs w:val="24"/>
        </w:rPr>
      </w:pPr>
      <w:r>
        <w:rPr>
          <w:szCs w:val="24"/>
        </w:rPr>
        <w:t>获奖证书均加盖中国岩石力学与工程学会公章。</w:t>
      </w:r>
    </w:p>
    <w:p w14:paraId="499670BA">
      <w:pPr>
        <w:spacing w:line="360" w:lineRule="auto"/>
        <w:ind w:firstLine="482"/>
        <w:outlineLvl w:val="1"/>
        <w:rPr>
          <w:b/>
          <w:bCs/>
          <w:szCs w:val="24"/>
        </w:rPr>
      </w:pPr>
      <w:r>
        <w:rPr>
          <w:b/>
          <w:bCs/>
          <w:szCs w:val="24"/>
        </w:rPr>
        <w:t>3. 申诉与仲裁</w:t>
      </w:r>
    </w:p>
    <w:p w14:paraId="69826DF5">
      <w:pPr>
        <w:spacing w:line="360" w:lineRule="auto"/>
        <w:ind w:firstLine="480"/>
        <w:rPr>
          <w:szCs w:val="24"/>
        </w:rPr>
      </w:pPr>
      <w:r>
        <w:rPr>
          <w:szCs w:val="24"/>
        </w:rPr>
        <w:t>（1）申诉</w:t>
      </w:r>
    </w:p>
    <w:p w14:paraId="6DBFCC70">
      <w:pPr>
        <w:spacing w:line="360" w:lineRule="auto"/>
        <w:ind w:firstLine="480"/>
        <w:rPr>
          <w:szCs w:val="24"/>
        </w:rPr>
      </w:pPr>
      <w:r>
        <w:rPr>
          <w:szCs w:val="24"/>
        </w:rPr>
        <w:t>①对于不符合竞赛规定的事宜，有失公平的评判，以及工作人员的违规行为等，参赛队可向仲裁委员会提出申诉。</w:t>
      </w:r>
    </w:p>
    <w:p w14:paraId="7A285A7B">
      <w:pPr>
        <w:spacing w:line="360" w:lineRule="auto"/>
        <w:ind w:firstLine="480"/>
        <w:rPr>
          <w:szCs w:val="24"/>
        </w:rPr>
      </w:pPr>
      <w:r>
        <w:rPr>
          <w:szCs w:val="24"/>
        </w:rPr>
        <w:t>②申诉时，应递交由参赛队领队签字认可的书面报告，报告应对申诉事件的现象、发生的时间、涉及的人员、申诉依据与理由等进行实事求是的充分叙述。事实依据不充分或仅凭主观臆断的申诉不予受理。</w:t>
      </w:r>
    </w:p>
    <w:p w14:paraId="416F6744">
      <w:pPr>
        <w:spacing w:line="360" w:lineRule="auto"/>
        <w:ind w:firstLine="480"/>
        <w:rPr>
          <w:szCs w:val="24"/>
        </w:rPr>
      </w:pPr>
      <w:r>
        <w:rPr>
          <w:szCs w:val="24"/>
        </w:rPr>
        <w:t>③申诉时效，在当前轮次竞赛结束后半小时内提出，超过时效将不予受理。</w:t>
      </w:r>
    </w:p>
    <w:p w14:paraId="7337139F">
      <w:pPr>
        <w:spacing w:line="360" w:lineRule="auto"/>
        <w:ind w:firstLine="480"/>
        <w:rPr>
          <w:szCs w:val="24"/>
        </w:rPr>
      </w:pPr>
      <w:r>
        <w:rPr>
          <w:szCs w:val="24"/>
        </w:rPr>
        <w:t>（2）仲裁</w:t>
      </w:r>
    </w:p>
    <w:p w14:paraId="4228FC3A">
      <w:pPr>
        <w:spacing w:line="360" w:lineRule="auto"/>
        <w:ind w:firstLine="480"/>
        <w:rPr>
          <w:szCs w:val="24"/>
        </w:rPr>
      </w:pPr>
      <w:r>
        <w:rPr>
          <w:szCs w:val="24"/>
        </w:rPr>
        <w:t>①仲裁委员会负责受理竞赛中出现的所有申诉并进行仲裁，以保证竞赛顺利进行和结果公平、公正。</w:t>
      </w:r>
    </w:p>
    <w:p w14:paraId="512A02E1">
      <w:pPr>
        <w:spacing w:line="360" w:lineRule="auto"/>
        <w:ind w:firstLine="480"/>
        <w:rPr>
          <w:szCs w:val="24"/>
        </w:rPr>
      </w:pPr>
      <w:r>
        <w:rPr>
          <w:szCs w:val="24"/>
        </w:rPr>
        <w:t>②仲裁委员会收到申诉报告后，根据申诉事由进行审查，半小时内书面通知申诉方，告知处理结果。</w:t>
      </w:r>
    </w:p>
    <w:p w14:paraId="09054FD3">
      <w:pPr>
        <w:spacing w:line="360" w:lineRule="auto"/>
        <w:ind w:firstLine="480"/>
        <w:rPr>
          <w:szCs w:val="24"/>
        </w:rPr>
      </w:pPr>
      <w:r>
        <w:rPr>
          <w:szCs w:val="24"/>
        </w:rPr>
        <w:t>③仲裁委员会的裁决为最终裁决。</w:t>
      </w:r>
    </w:p>
    <w:p w14:paraId="71CD2C0B">
      <w:pPr>
        <w:spacing w:line="360" w:lineRule="auto"/>
        <w:ind w:firstLine="482"/>
        <w:outlineLvl w:val="1"/>
        <w:rPr>
          <w:b/>
          <w:bCs/>
          <w:szCs w:val="24"/>
        </w:rPr>
      </w:pPr>
      <w:r>
        <w:rPr>
          <w:b/>
          <w:bCs/>
          <w:szCs w:val="24"/>
        </w:rPr>
        <w:t>4. 参赛选手须知</w:t>
      </w:r>
    </w:p>
    <w:p w14:paraId="26D9F67E">
      <w:pPr>
        <w:spacing w:line="360" w:lineRule="auto"/>
        <w:ind w:firstLine="480"/>
        <w:rPr>
          <w:szCs w:val="24"/>
        </w:rPr>
      </w:pPr>
      <w:r>
        <w:rPr>
          <w:szCs w:val="24"/>
        </w:rPr>
        <w:t>各参赛队发生以下情况之一者，将取消其竞赛资格或竞赛成绩。</w:t>
      </w:r>
    </w:p>
    <w:p w14:paraId="6AE9CD63">
      <w:pPr>
        <w:spacing w:line="360" w:lineRule="auto"/>
        <w:ind w:firstLine="480"/>
        <w:rPr>
          <w:szCs w:val="24"/>
        </w:rPr>
      </w:pPr>
      <w:r>
        <w:rPr>
          <w:szCs w:val="24"/>
        </w:rPr>
        <w:t>（1）参赛选手参加了两个及两个以上的代表队参加决赛；</w:t>
      </w:r>
    </w:p>
    <w:p w14:paraId="6A2AB816">
      <w:pPr>
        <w:spacing w:line="360" w:lineRule="auto"/>
        <w:ind w:firstLine="480"/>
        <w:rPr>
          <w:szCs w:val="24"/>
        </w:rPr>
      </w:pPr>
      <w:r>
        <w:rPr>
          <w:szCs w:val="24"/>
        </w:rPr>
        <w:t>（</w:t>
      </w:r>
      <w:r>
        <w:rPr>
          <w:rFonts w:hint="eastAsia"/>
          <w:szCs w:val="24"/>
        </w:rPr>
        <w:t>2</w:t>
      </w:r>
      <w:r>
        <w:rPr>
          <w:szCs w:val="24"/>
        </w:rPr>
        <w:t>）在模型设计说明书封面以外出现了任何有关参赛学校名称以及个人真实姓名的有关信息；</w:t>
      </w:r>
    </w:p>
    <w:p w14:paraId="4671A5B5">
      <w:pPr>
        <w:spacing w:line="360" w:lineRule="auto"/>
        <w:ind w:firstLine="480"/>
        <w:rPr>
          <w:color w:val="auto"/>
          <w:szCs w:val="24"/>
        </w:rPr>
      </w:pPr>
      <w:r>
        <w:rPr>
          <w:szCs w:val="24"/>
        </w:rPr>
        <w:t>（</w:t>
      </w:r>
      <w:r>
        <w:rPr>
          <w:rFonts w:hint="eastAsia"/>
          <w:szCs w:val="24"/>
        </w:rPr>
        <w:t>3</w:t>
      </w:r>
      <w:r>
        <w:rPr>
          <w:szCs w:val="24"/>
        </w:rPr>
        <w:t>）参赛作品使用了</w:t>
      </w:r>
      <w:r>
        <w:rPr>
          <w:color w:val="auto"/>
          <w:szCs w:val="24"/>
        </w:rPr>
        <w:t>比赛指定之外的材料；</w:t>
      </w:r>
    </w:p>
    <w:p w14:paraId="24D1DEBC">
      <w:pPr>
        <w:spacing w:line="360" w:lineRule="auto"/>
        <w:ind w:firstLine="480"/>
        <w:rPr>
          <w:color w:val="auto"/>
          <w:szCs w:val="24"/>
        </w:rPr>
      </w:pPr>
      <w:r>
        <w:rPr>
          <w:color w:val="auto"/>
          <w:szCs w:val="24"/>
        </w:rPr>
        <w:t>（</w:t>
      </w:r>
      <w:r>
        <w:rPr>
          <w:rFonts w:hint="eastAsia"/>
          <w:color w:val="auto"/>
          <w:szCs w:val="24"/>
        </w:rPr>
        <w:t>4</w:t>
      </w:r>
      <w:r>
        <w:rPr>
          <w:color w:val="auto"/>
          <w:szCs w:val="24"/>
        </w:rPr>
        <w:t>）参赛作品的尺寸不满足要求，且经过补救后仍不合要求的；</w:t>
      </w:r>
    </w:p>
    <w:p w14:paraId="7342A927">
      <w:pPr>
        <w:spacing w:line="360" w:lineRule="auto"/>
        <w:ind w:firstLine="480"/>
        <w:rPr>
          <w:color w:val="auto"/>
          <w:szCs w:val="24"/>
        </w:rPr>
      </w:pPr>
      <w:r>
        <w:rPr>
          <w:color w:val="auto"/>
          <w:szCs w:val="24"/>
        </w:rPr>
        <w:t>（</w:t>
      </w:r>
      <w:r>
        <w:rPr>
          <w:rFonts w:hint="eastAsia"/>
          <w:color w:val="auto"/>
          <w:szCs w:val="24"/>
        </w:rPr>
        <w:t>5</w:t>
      </w:r>
      <w:r>
        <w:rPr>
          <w:color w:val="auto"/>
          <w:szCs w:val="24"/>
        </w:rPr>
        <w:t>）结构模型制作时间超过</w:t>
      </w:r>
      <w:r>
        <w:rPr>
          <w:rFonts w:hint="eastAsia"/>
          <w:color w:val="auto"/>
          <w:szCs w:val="24"/>
        </w:rPr>
        <w:t>120</w:t>
      </w:r>
      <w:r>
        <w:rPr>
          <w:color w:val="auto"/>
          <w:szCs w:val="24"/>
        </w:rPr>
        <w:t>分钟；</w:t>
      </w:r>
    </w:p>
    <w:p w14:paraId="10C5ECF0">
      <w:pPr>
        <w:spacing w:line="360" w:lineRule="auto"/>
        <w:ind w:firstLine="480"/>
        <w:rPr>
          <w:szCs w:val="24"/>
        </w:rPr>
      </w:pPr>
      <w:r>
        <w:rPr>
          <w:color w:val="auto"/>
          <w:szCs w:val="24"/>
        </w:rPr>
        <w:t>（</w:t>
      </w:r>
      <w:r>
        <w:rPr>
          <w:rFonts w:hint="eastAsia"/>
          <w:color w:val="auto"/>
          <w:szCs w:val="24"/>
        </w:rPr>
        <w:t>6</w:t>
      </w:r>
      <w:r>
        <w:rPr>
          <w:color w:val="auto"/>
          <w:szCs w:val="24"/>
        </w:rPr>
        <w:t>）结构模型与模型箱内壁之间设置了任何</w:t>
      </w:r>
      <w:r>
        <w:rPr>
          <w:szCs w:val="24"/>
        </w:rPr>
        <w:t>形式的加固连接措施；</w:t>
      </w:r>
    </w:p>
    <w:p w14:paraId="64271733">
      <w:pPr>
        <w:spacing w:line="360" w:lineRule="auto"/>
        <w:ind w:firstLine="480"/>
        <w:rPr>
          <w:szCs w:val="24"/>
        </w:rPr>
      </w:pPr>
      <w:r>
        <w:rPr>
          <w:szCs w:val="24"/>
        </w:rPr>
        <w:t>（</w:t>
      </w:r>
      <w:r>
        <w:rPr>
          <w:rFonts w:hint="eastAsia"/>
          <w:szCs w:val="24"/>
        </w:rPr>
        <w:t>7</w:t>
      </w:r>
      <w:r>
        <w:rPr>
          <w:szCs w:val="24"/>
        </w:rPr>
        <w:t>）填埋橡胶颗粒高度不符合要求；</w:t>
      </w:r>
    </w:p>
    <w:p w14:paraId="2D467C3C">
      <w:pPr>
        <w:spacing w:line="360" w:lineRule="auto"/>
        <w:ind w:firstLine="480"/>
        <w:rPr>
          <w:szCs w:val="24"/>
        </w:rPr>
      </w:pPr>
      <w:r>
        <w:rPr>
          <w:szCs w:val="24"/>
        </w:rPr>
        <w:t>（</w:t>
      </w:r>
      <w:r>
        <w:rPr>
          <w:rFonts w:hint="eastAsia"/>
          <w:szCs w:val="24"/>
        </w:rPr>
        <w:t>8</w:t>
      </w:r>
      <w:r>
        <w:rPr>
          <w:szCs w:val="24"/>
        </w:rPr>
        <w:t>）未按规定进行加载试验；</w:t>
      </w:r>
    </w:p>
    <w:p w14:paraId="126F4EB7">
      <w:pPr>
        <w:spacing w:line="360" w:lineRule="auto"/>
        <w:ind w:firstLine="480"/>
        <w:rPr>
          <w:szCs w:val="24"/>
        </w:rPr>
      </w:pPr>
      <w:r>
        <w:rPr>
          <w:szCs w:val="24"/>
        </w:rPr>
        <w:t>（</w:t>
      </w:r>
      <w:r>
        <w:rPr>
          <w:rFonts w:hint="eastAsia"/>
          <w:szCs w:val="24"/>
        </w:rPr>
        <w:t>9</w:t>
      </w:r>
      <w:r>
        <w:rPr>
          <w:szCs w:val="24"/>
        </w:rPr>
        <w:t>）经专家委员会或仲裁委员会认定的其它应取消竞赛资格或成绩。</w:t>
      </w:r>
    </w:p>
    <w:p w14:paraId="6B70CE89">
      <w:pPr>
        <w:spacing w:line="360" w:lineRule="auto"/>
        <w:ind w:firstLine="482"/>
        <w:outlineLvl w:val="1"/>
        <w:rPr>
          <w:b/>
          <w:bCs/>
          <w:szCs w:val="24"/>
        </w:rPr>
      </w:pPr>
      <w:r>
        <w:rPr>
          <w:b/>
          <w:bCs/>
          <w:szCs w:val="24"/>
        </w:rPr>
        <w:t>5. 知识产权</w:t>
      </w:r>
    </w:p>
    <w:p w14:paraId="4B9F3ACB">
      <w:pPr>
        <w:spacing w:line="360" w:lineRule="auto"/>
        <w:ind w:firstLine="480"/>
        <w:rPr>
          <w:szCs w:val="24"/>
        </w:rPr>
      </w:pPr>
      <w:r>
        <w:rPr>
          <w:szCs w:val="24"/>
        </w:rPr>
        <w:t>（1）所有参赛作品必须为原创作品，不得存在任何知识产权纠纷或争议。</w:t>
      </w:r>
    </w:p>
    <w:p w14:paraId="7869086E">
      <w:pPr>
        <w:spacing w:line="360" w:lineRule="auto"/>
        <w:ind w:firstLine="480"/>
        <w:rPr>
          <w:szCs w:val="24"/>
        </w:rPr>
      </w:pPr>
      <w:r>
        <w:rPr>
          <w:szCs w:val="24"/>
        </w:rPr>
        <w:t>（2）主办及承办单位对所有参赛作品有出版、发布、展览等权利。</w:t>
      </w:r>
    </w:p>
    <w:p w14:paraId="56EC6600">
      <w:pPr>
        <w:spacing w:line="360" w:lineRule="auto"/>
        <w:ind w:firstLine="482"/>
        <w:outlineLvl w:val="1"/>
        <w:rPr>
          <w:b/>
          <w:bCs/>
          <w:szCs w:val="24"/>
        </w:rPr>
      </w:pPr>
      <w:r>
        <w:rPr>
          <w:b/>
          <w:bCs/>
          <w:szCs w:val="24"/>
        </w:rPr>
        <w:t>6. 竞赛安全</w:t>
      </w:r>
    </w:p>
    <w:p w14:paraId="3AE19FCD">
      <w:pPr>
        <w:spacing w:line="360" w:lineRule="auto"/>
        <w:ind w:firstLine="480"/>
        <w:rPr>
          <w:szCs w:val="24"/>
        </w:rPr>
      </w:pPr>
      <w:r>
        <w:rPr>
          <w:szCs w:val="24"/>
        </w:rPr>
        <w:t>（1）竞赛期间，各参赛队需按承办单位要求统一安排食宿，指导教师及队员外出须征得本校领队同意，并按时返回。</w:t>
      </w:r>
    </w:p>
    <w:p w14:paraId="29BA62D2">
      <w:pPr>
        <w:spacing w:line="360" w:lineRule="auto"/>
        <w:ind w:firstLine="480"/>
        <w:rPr>
          <w:szCs w:val="24"/>
        </w:rPr>
      </w:pPr>
      <w:r>
        <w:rPr>
          <w:szCs w:val="24"/>
        </w:rPr>
        <w:t>（2）参赛队员比赛过程中须严格遵守相关操作规程，确保人身及设备安全。</w:t>
      </w:r>
    </w:p>
    <w:p w14:paraId="06AE76DC">
      <w:pPr>
        <w:spacing w:line="360" w:lineRule="auto"/>
        <w:ind w:firstLine="480"/>
        <w:rPr>
          <w:szCs w:val="24"/>
        </w:rPr>
      </w:pPr>
      <w:r>
        <w:rPr>
          <w:szCs w:val="24"/>
        </w:rPr>
        <w:t>本次比赛最终解释权归承办方</w:t>
      </w:r>
      <w:r>
        <w:rPr>
          <w:rFonts w:hint="eastAsia"/>
          <w:szCs w:val="24"/>
        </w:rPr>
        <w:t>郑州工程技术学院</w:t>
      </w:r>
      <w:r>
        <w:rPr>
          <w:szCs w:val="24"/>
        </w:rPr>
        <w:t>，其他未尽事宜可由竞赛评审委员会和仲裁委员会商议确定。</w:t>
      </w:r>
    </w:p>
    <w:p w14:paraId="0EE86998">
      <w:pPr>
        <w:spacing w:line="312" w:lineRule="auto"/>
        <w:ind w:firstLine="556"/>
        <w:rPr>
          <w:rFonts w:eastAsia="黑体"/>
          <w:spacing w:val="-1"/>
          <w:sz w:val="28"/>
          <w:szCs w:val="28"/>
        </w:rPr>
      </w:pPr>
      <w:r>
        <w:rPr>
          <w:rFonts w:eastAsia="黑体"/>
          <w:spacing w:val="-1"/>
          <w:sz w:val="28"/>
          <w:szCs w:val="28"/>
        </w:rPr>
        <w:t>十、联系方式</w:t>
      </w:r>
    </w:p>
    <w:p w14:paraId="56204478">
      <w:pPr>
        <w:spacing w:line="312" w:lineRule="auto"/>
        <w:ind w:firstLine="540"/>
        <w:rPr>
          <w:rFonts w:eastAsia="仿宋"/>
          <w:spacing w:val="-5"/>
          <w:sz w:val="28"/>
          <w:szCs w:val="28"/>
        </w:rPr>
      </w:pPr>
      <w:r>
        <w:rPr>
          <w:rFonts w:eastAsia="仿宋"/>
          <w:spacing w:val="-5"/>
          <w:sz w:val="28"/>
          <w:szCs w:val="28"/>
        </w:rPr>
        <w:t>邮寄地址：</w:t>
      </w:r>
      <w:r>
        <w:rPr>
          <w:rFonts w:hint="eastAsia" w:eastAsia="仿宋"/>
          <w:spacing w:val="-5"/>
          <w:sz w:val="28"/>
          <w:szCs w:val="28"/>
        </w:rPr>
        <w:t>郑州工程技术学院（</w:t>
      </w:r>
      <w:r>
        <w:rPr>
          <w:rFonts w:hint="eastAsia" w:eastAsia="仿宋"/>
          <w:spacing w:val="-5"/>
          <w:sz w:val="28"/>
          <w:szCs w:val="28"/>
          <w:lang w:val="en-US" w:eastAsia="zh-CN"/>
        </w:rPr>
        <w:t>金河</w:t>
      </w:r>
      <w:r>
        <w:rPr>
          <w:rFonts w:hint="eastAsia" w:eastAsia="仿宋"/>
          <w:spacing w:val="-5"/>
          <w:sz w:val="28"/>
          <w:szCs w:val="28"/>
        </w:rPr>
        <w:t>校区）</w:t>
      </w:r>
    </w:p>
    <w:p w14:paraId="2EEF9F03">
      <w:pPr>
        <w:spacing w:line="312" w:lineRule="auto"/>
        <w:ind w:firstLine="540"/>
        <w:rPr>
          <w:rFonts w:eastAsia="仿宋"/>
          <w:spacing w:val="-5"/>
          <w:sz w:val="28"/>
          <w:szCs w:val="28"/>
        </w:rPr>
      </w:pPr>
      <w:r>
        <w:rPr>
          <w:rFonts w:eastAsia="仿宋"/>
          <w:spacing w:val="-5"/>
          <w:sz w:val="28"/>
          <w:szCs w:val="28"/>
        </w:rPr>
        <w:t>河南省郑州市惠济区金河路66号，邮编：450044</w:t>
      </w:r>
    </w:p>
    <w:p w14:paraId="39B413C0">
      <w:pPr>
        <w:spacing w:line="312" w:lineRule="auto"/>
        <w:ind w:firstLine="542"/>
        <w:rPr>
          <w:rFonts w:eastAsia="仿宋"/>
          <w:b/>
          <w:spacing w:val="-5"/>
          <w:sz w:val="28"/>
          <w:szCs w:val="28"/>
        </w:rPr>
      </w:pPr>
      <w:r>
        <w:rPr>
          <w:rFonts w:eastAsia="仿宋"/>
          <w:b/>
          <w:spacing w:val="-5"/>
          <w:sz w:val="28"/>
          <w:szCs w:val="28"/>
        </w:rPr>
        <w:t>联系人及电话：</w:t>
      </w:r>
    </w:p>
    <w:p w14:paraId="4C668889">
      <w:pPr>
        <w:spacing w:line="312" w:lineRule="auto"/>
        <w:ind w:firstLine="540"/>
        <w:rPr>
          <w:rFonts w:hint="default" w:eastAsia="仿宋"/>
          <w:spacing w:val="-5"/>
          <w:sz w:val="28"/>
          <w:szCs w:val="28"/>
          <w:lang w:val="en-US" w:eastAsia="zh-CN"/>
        </w:rPr>
      </w:pPr>
      <w:r>
        <w:rPr>
          <w:rFonts w:hint="eastAsia" w:eastAsia="仿宋"/>
          <w:spacing w:val="-5"/>
          <w:sz w:val="28"/>
          <w:szCs w:val="28"/>
          <w:lang w:val="en-US" w:eastAsia="zh-CN"/>
        </w:rPr>
        <w:t>刘应然 18339219612</w:t>
      </w:r>
    </w:p>
    <w:p w14:paraId="1490DD2B">
      <w:pPr>
        <w:spacing w:line="312" w:lineRule="auto"/>
        <w:ind w:firstLine="540"/>
        <w:rPr>
          <w:rFonts w:hint="eastAsia" w:eastAsia="仿宋"/>
          <w:spacing w:val="-5"/>
          <w:sz w:val="28"/>
          <w:szCs w:val="28"/>
          <w:lang w:val="en-US" w:eastAsia="zh-CN"/>
        </w:rPr>
      </w:pPr>
      <w:r>
        <w:rPr>
          <w:rFonts w:hint="eastAsia" w:eastAsia="仿宋"/>
          <w:spacing w:val="-5"/>
          <w:sz w:val="28"/>
          <w:szCs w:val="28"/>
          <w:lang w:val="en-US" w:eastAsia="zh-CN"/>
        </w:rPr>
        <w:t>詹景元 15737125568（微信同号）</w:t>
      </w:r>
    </w:p>
    <w:p w14:paraId="2CF60F24">
      <w:pPr>
        <w:spacing w:line="312" w:lineRule="auto"/>
        <w:ind w:firstLine="540"/>
        <w:rPr>
          <w:rFonts w:hint="default" w:eastAsia="仿宋"/>
          <w:spacing w:val="-5"/>
          <w:sz w:val="28"/>
          <w:szCs w:val="28"/>
          <w:lang w:val="en-US" w:eastAsia="zh-CN"/>
        </w:rPr>
      </w:pPr>
      <w:r>
        <w:rPr>
          <w:rFonts w:hint="eastAsia" w:eastAsia="仿宋"/>
          <w:spacing w:val="-5"/>
          <w:sz w:val="28"/>
          <w:szCs w:val="28"/>
          <w:lang w:val="en-US" w:eastAsia="zh-CN"/>
        </w:rPr>
        <w:t>杨兴隆 18039293607（微信同号）</w:t>
      </w:r>
    </w:p>
    <w:p w14:paraId="14817598">
      <w:pPr>
        <w:spacing w:line="312" w:lineRule="auto"/>
        <w:ind w:firstLine="540"/>
        <w:rPr>
          <w:rFonts w:hint="default" w:eastAsia="仿宋"/>
          <w:spacing w:val="-5"/>
          <w:sz w:val="28"/>
          <w:szCs w:val="28"/>
          <w:lang w:val="en-US" w:eastAsia="zh-CN"/>
        </w:rPr>
      </w:pPr>
      <w:r>
        <w:rPr>
          <w:rFonts w:eastAsia="仿宋"/>
          <w:spacing w:val="-5"/>
          <w:sz w:val="28"/>
          <w:szCs w:val="28"/>
        </w:rPr>
        <w:t>模型竞赛专用邮箱：</w:t>
      </w:r>
      <w:r>
        <w:rPr>
          <w:rFonts w:hint="eastAsia" w:eastAsia="仿宋"/>
          <w:spacing w:val="-5"/>
          <w:sz w:val="28"/>
          <w:szCs w:val="28"/>
          <w:lang w:val="en-US" w:eastAsia="zh-CN"/>
        </w:rPr>
        <w:t>20251044@zzut.edu.cn</w:t>
      </w:r>
    </w:p>
    <w:p w14:paraId="0B02AF95">
      <w:pPr>
        <w:spacing w:line="360" w:lineRule="auto"/>
        <w:ind w:firstLine="480"/>
        <w:rPr>
          <w:szCs w:val="24"/>
        </w:rPr>
      </w:pPr>
    </w:p>
    <w:p w14:paraId="0CBD6CBE">
      <w:pPr>
        <w:widowControl/>
        <w:ind w:firstLine="0" w:firstLineChars="0"/>
        <w:jc w:val="left"/>
        <w:rPr>
          <w:szCs w:val="24"/>
        </w:rPr>
      </w:pPr>
      <w:r>
        <w:rPr>
          <w:szCs w:val="24"/>
        </w:rPr>
        <w:br w:type="page"/>
      </w:r>
    </w:p>
    <w:p w14:paraId="514247DB">
      <w:pPr>
        <w:widowControl/>
        <w:ind w:firstLine="0" w:firstLineChars="0"/>
        <w:jc w:val="center"/>
        <w:rPr>
          <w:kern w:val="0"/>
          <w:sz w:val="28"/>
          <w:szCs w:val="28"/>
          <w:lang w:bidi="ar"/>
        </w:rPr>
      </w:pPr>
      <w:r>
        <w:rPr>
          <w:kern w:val="0"/>
          <w:sz w:val="28"/>
          <w:szCs w:val="28"/>
          <w:lang w:bidi="ar"/>
        </w:rPr>
        <w:t>附表1 材料购买链接</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7"/>
        <w:gridCol w:w="5809"/>
        <w:gridCol w:w="1445"/>
      </w:tblGrid>
      <w:tr w14:paraId="042A9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pct"/>
            <w:tcBorders>
              <w:top w:val="single" w:color="auto" w:sz="4" w:space="0"/>
              <w:left w:val="single" w:color="auto" w:sz="4" w:space="0"/>
              <w:bottom w:val="single" w:color="auto" w:sz="4" w:space="0"/>
              <w:right w:val="single" w:color="auto" w:sz="4" w:space="0"/>
            </w:tcBorders>
            <w:vAlign w:val="center"/>
          </w:tcPr>
          <w:p w14:paraId="4E26CBB0">
            <w:pPr>
              <w:autoSpaceDE w:val="0"/>
              <w:spacing w:line="360" w:lineRule="auto"/>
              <w:ind w:firstLine="0" w:firstLineChars="0"/>
              <w:jc w:val="center"/>
              <w:rPr>
                <w:rFonts w:eastAsia="TimesNewRomanPSMT"/>
                <w:szCs w:val="24"/>
              </w:rPr>
            </w:pPr>
            <w:r>
              <w:rPr>
                <w:szCs w:val="24"/>
                <w:lang w:bidi="ar"/>
              </w:rPr>
              <w:t>材料名称</w:t>
            </w:r>
          </w:p>
        </w:tc>
        <w:tc>
          <w:tcPr>
            <w:tcW w:w="3034" w:type="pct"/>
            <w:tcBorders>
              <w:top w:val="single" w:color="auto" w:sz="4" w:space="0"/>
              <w:left w:val="nil"/>
              <w:bottom w:val="single" w:color="auto" w:sz="4" w:space="0"/>
              <w:right w:val="single" w:color="auto" w:sz="4" w:space="0"/>
            </w:tcBorders>
            <w:vAlign w:val="center"/>
          </w:tcPr>
          <w:p w14:paraId="1714FCFE">
            <w:pPr>
              <w:autoSpaceDE w:val="0"/>
              <w:spacing w:line="360" w:lineRule="auto"/>
              <w:ind w:firstLine="0" w:firstLineChars="0"/>
              <w:jc w:val="center"/>
              <w:rPr>
                <w:szCs w:val="24"/>
              </w:rPr>
            </w:pPr>
            <w:r>
              <w:rPr>
                <w:szCs w:val="24"/>
                <w:lang w:bidi="ar"/>
              </w:rPr>
              <w:t>购买链接</w:t>
            </w:r>
          </w:p>
        </w:tc>
        <w:tc>
          <w:tcPr>
            <w:tcW w:w="755" w:type="pct"/>
            <w:tcBorders>
              <w:top w:val="single" w:color="auto" w:sz="4" w:space="0"/>
              <w:left w:val="nil"/>
              <w:bottom w:val="single" w:color="auto" w:sz="4" w:space="0"/>
              <w:right w:val="single" w:color="auto" w:sz="4" w:space="0"/>
            </w:tcBorders>
            <w:vAlign w:val="center"/>
          </w:tcPr>
          <w:p w14:paraId="1598DA7D">
            <w:pPr>
              <w:autoSpaceDE w:val="0"/>
              <w:spacing w:line="360" w:lineRule="auto"/>
              <w:ind w:firstLine="0" w:firstLineChars="0"/>
              <w:jc w:val="center"/>
              <w:rPr>
                <w:szCs w:val="24"/>
              </w:rPr>
            </w:pPr>
            <w:r>
              <w:rPr>
                <w:szCs w:val="24"/>
              </w:rPr>
              <w:t>参考价</w:t>
            </w:r>
          </w:p>
        </w:tc>
      </w:tr>
      <w:tr w14:paraId="39396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210" w:type="pct"/>
            <w:tcBorders>
              <w:top w:val="single" w:color="auto" w:sz="4" w:space="0"/>
              <w:left w:val="single" w:color="auto" w:sz="4" w:space="0"/>
              <w:bottom w:val="single" w:color="auto" w:sz="4" w:space="0"/>
              <w:right w:val="single" w:color="auto" w:sz="4" w:space="0"/>
            </w:tcBorders>
            <w:vAlign w:val="center"/>
          </w:tcPr>
          <w:p w14:paraId="255E8FA4">
            <w:pPr>
              <w:autoSpaceDE w:val="0"/>
              <w:spacing w:line="360" w:lineRule="auto"/>
              <w:ind w:firstLine="0" w:firstLineChars="0"/>
              <w:jc w:val="center"/>
              <w:rPr>
                <w:rFonts w:eastAsia="TimesNewRomanPSMT"/>
                <w:szCs w:val="24"/>
              </w:rPr>
            </w:pPr>
            <w:r>
              <w:rPr>
                <w:szCs w:val="24"/>
              </w:rPr>
              <w:t>EPDM橡胶颗粒</w:t>
            </w:r>
          </w:p>
        </w:tc>
        <w:tc>
          <w:tcPr>
            <w:tcW w:w="5672" w:type="dxa"/>
            <w:tcBorders>
              <w:top w:val="single" w:color="auto" w:sz="4" w:space="0"/>
              <w:left w:val="nil"/>
              <w:bottom w:val="single" w:color="auto" w:sz="4" w:space="0"/>
              <w:right w:val="single" w:color="auto" w:sz="4" w:space="0"/>
            </w:tcBorders>
            <w:vAlign w:val="center"/>
          </w:tcPr>
          <w:p w14:paraId="610F617A">
            <w:pPr>
              <w:autoSpaceDE w:val="0"/>
              <w:spacing w:line="360" w:lineRule="auto"/>
              <w:ind w:firstLine="0" w:firstLineChars="0"/>
              <w:jc w:val="both"/>
              <w:rPr>
                <w:szCs w:val="24"/>
              </w:rPr>
            </w:pPr>
            <w:r>
              <w:rPr>
                <w:rFonts w:hint="eastAsia"/>
                <w:szCs w:val="24"/>
              </w:rPr>
              <w:t>https://b2b.baidu.com/land?id=9ba91178dd9659de92f3b983535392c810</w:t>
            </w:r>
          </w:p>
        </w:tc>
        <w:tc>
          <w:tcPr>
            <w:tcW w:w="755" w:type="pct"/>
            <w:tcBorders>
              <w:top w:val="single" w:color="auto" w:sz="4" w:space="0"/>
              <w:left w:val="nil"/>
              <w:bottom w:val="single" w:color="auto" w:sz="4" w:space="0"/>
              <w:right w:val="single" w:color="auto" w:sz="4" w:space="0"/>
            </w:tcBorders>
            <w:vAlign w:val="center"/>
          </w:tcPr>
          <w:p w14:paraId="1CB2B860">
            <w:pPr>
              <w:autoSpaceDE w:val="0"/>
              <w:spacing w:line="360" w:lineRule="auto"/>
              <w:ind w:firstLine="0" w:firstLineChars="0"/>
              <w:jc w:val="center"/>
              <w:rPr>
                <w:szCs w:val="24"/>
              </w:rPr>
            </w:pPr>
            <w:r>
              <w:rPr>
                <w:rFonts w:hint="eastAsia"/>
                <w:szCs w:val="24"/>
                <w:lang w:val="en-US" w:eastAsia="zh-CN"/>
              </w:rPr>
              <w:t>4</w:t>
            </w:r>
            <w:r>
              <w:rPr>
                <w:szCs w:val="24"/>
              </w:rPr>
              <w:t>.0/公斤</w:t>
            </w:r>
          </w:p>
        </w:tc>
      </w:tr>
      <w:tr w14:paraId="6E48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1210" w:type="pct"/>
            <w:tcBorders>
              <w:top w:val="single" w:color="auto" w:sz="4" w:space="0"/>
              <w:left w:val="single" w:color="auto" w:sz="4" w:space="0"/>
              <w:bottom w:val="single" w:color="auto" w:sz="4" w:space="0"/>
              <w:right w:val="single" w:color="auto" w:sz="4" w:space="0"/>
            </w:tcBorders>
            <w:vAlign w:val="center"/>
          </w:tcPr>
          <w:p w14:paraId="4B4C2DE3">
            <w:pPr>
              <w:autoSpaceDE w:val="0"/>
              <w:spacing w:line="360" w:lineRule="auto"/>
              <w:ind w:firstLine="0" w:firstLineChars="0"/>
              <w:jc w:val="center"/>
              <w:rPr>
                <w:rFonts w:eastAsia="TimesNewRomanPSMT"/>
                <w:szCs w:val="24"/>
              </w:rPr>
            </w:pPr>
            <w:r>
              <w:rPr>
                <w:szCs w:val="24"/>
                <w:lang w:bidi="ar"/>
              </w:rPr>
              <w:t>全开荷兰白卡（</w:t>
            </w:r>
            <w:r>
              <w:rPr>
                <w:rFonts w:eastAsia="TimesNewRomanPSMT"/>
                <w:szCs w:val="24"/>
                <w:lang w:bidi="ar"/>
              </w:rPr>
              <w:t>230g</w:t>
            </w:r>
            <w:r>
              <w:rPr>
                <w:szCs w:val="24"/>
                <w:lang w:bidi="ar"/>
              </w:rPr>
              <w:t>）</w:t>
            </w:r>
          </w:p>
        </w:tc>
        <w:tc>
          <w:tcPr>
            <w:tcW w:w="3034" w:type="pct"/>
            <w:tcBorders>
              <w:top w:val="single" w:color="auto" w:sz="4" w:space="0"/>
              <w:left w:val="nil"/>
              <w:bottom w:val="single" w:color="auto" w:sz="4" w:space="0"/>
              <w:right w:val="single" w:color="auto" w:sz="4" w:space="0"/>
            </w:tcBorders>
            <w:vAlign w:val="center"/>
          </w:tcPr>
          <w:p w14:paraId="5B43A21D">
            <w:pPr>
              <w:autoSpaceDE w:val="0"/>
              <w:spacing w:line="360" w:lineRule="auto"/>
              <w:ind w:firstLine="0" w:firstLineChars="0"/>
              <w:jc w:val="left"/>
              <w:rPr>
                <w:szCs w:val="24"/>
              </w:rPr>
            </w:pPr>
            <w:r>
              <w:t>https://item.jd.com/67086590916.html</w:t>
            </w:r>
          </w:p>
        </w:tc>
        <w:tc>
          <w:tcPr>
            <w:tcW w:w="755" w:type="pct"/>
            <w:tcBorders>
              <w:top w:val="single" w:color="auto" w:sz="4" w:space="0"/>
              <w:left w:val="nil"/>
              <w:bottom w:val="single" w:color="auto" w:sz="4" w:space="0"/>
              <w:right w:val="single" w:color="auto" w:sz="4" w:space="0"/>
            </w:tcBorders>
            <w:vAlign w:val="center"/>
          </w:tcPr>
          <w:p w14:paraId="41B38F98">
            <w:pPr>
              <w:autoSpaceDE w:val="0"/>
              <w:spacing w:line="360" w:lineRule="auto"/>
              <w:ind w:firstLine="0" w:firstLineChars="0"/>
              <w:jc w:val="center"/>
              <w:rPr>
                <w:szCs w:val="24"/>
              </w:rPr>
            </w:pPr>
            <w:r>
              <w:rPr>
                <w:szCs w:val="24"/>
                <w:lang w:bidi="ar"/>
              </w:rPr>
              <w:t>23.9</w:t>
            </w:r>
          </w:p>
        </w:tc>
      </w:tr>
      <w:tr w14:paraId="7E37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2" w:type="dxa"/>
            <w:tcBorders>
              <w:top w:val="single" w:color="auto" w:sz="4" w:space="0"/>
              <w:left w:val="single" w:color="auto" w:sz="4" w:space="0"/>
              <w:bottom w:val="single" w:color="auto" w:sz="4" w:space="0"/>
              <w:right w:val="single" w:color="auto" w:sz="4" w:space="0"/>
            </w:tcBorders>
            <w:vAlign w:val="center"/>
          </w:tcPr>
          <w:p w14:paraId="6CFF6650">
            <w:pPr>
              <w:autoSpaceDE w:val="0"/>
              <w:spacing w:line="360" w:lineRule="auto"/>
              <w:ind w:firstLine="0" w:firstLineChars="0"/>
              <w:jc w:val="center"/>
              <w:rPr>
                <w:rFonts w:eastAsia="TimesNewRomanPSMT"/>
                <w:szCs w:val="24"/>
              </w:rPr>
            </w:pPr>
            <w:r>
              <w:rPr>
                <w:rFonts w:hint="eastAsia" w:ascii="宋体" w:hAnsi="宋体" w:cs="宋体"/>
                <w:szCs w:val="24"/>
                <w:lang w:bidi="ar"/>
              </w:rPr>
              <w:t>白乳胶</w:t>
            </w:r>
          </w:p>
        </w:tc>
        <w:tc>
          <w:tcPr>
            <w:tcW w:w="3034" w:type="pct"/>
            <w:tcBorders>
              <w:top w:val="single" w:color="auto" w:sz="4" w:space="0"/>
              <w:left w:val="nil"/>
              <w:bottom w:val="single" w:color="auto" w:sz="4" w:space="0"/>
              <w:right w:val="single" w:color="auto" w:sz="4" w:space="0"/>
            </w:tcBorders>
            <w:vAlign w:val="center"/>
          </w:tcPr>
          <w:p w14:paraId="4A224929">
            <w:pPr>
              <w:autoSpaceDE w:val="0"/>
              <w:spacing w:line="360" w:lineRule="auto"/>
              <w:ind w:firstLine="0" w:firstLineChars="0"/>
              <w:jc w:val="left"/>
              <w:rPr>
                <w:szCs w:val="24"/>
              </w:rPr>
            </w:pPr>
            <w:r>
              <w:t>https://item.jd.com/10122739941688.html</w:t>
            </w:r>
          </w:p>
        </w:tc>
        <w:tc>
          <w:tcPr>
            <w:tcW w:w="755" w:type="pct"/>
            <w:tcBorders>
              <w:top w:val="single" w:color="auto" w:sz="4" w:space="0"/>
              <w:left w:val="nil"/>
              <w:bottom w:val="single" w:color="auto" w:sz="4" w:space="0"/>
              <w:right w:val="single" w:color="auto" w:sz="4" w:space="0"/>
            </w:tcBorders>
            <w:vAlign w:val="center"/>
          </w:tcPr>
          <w:p w14:paraId="7EA86854">
            <w:pPr>
              <w:autoSpaceDE w:val="0"/>
              <w:spacing w:line="360" w:lineRule="auto"/>
              <w:ind w:firstLine="0" w:firstLineChars="0"/>
              <w:jc w:val="center"/>
              <w:rPr>
                <w:szCs w:val="24"/>
              </w:rPr>
            </w:pPr>
            <w:r>
              <w:rPr>
                <w:szCs w:val="24"/>
                <w:lang w:bidi="ar"/>
              </w:rPr>
              <w:t>19.9</w:t>
            </w:r>
          </w:p>
        </w:tc>
      </w:tr>
      <w:tr w14:paraId="00B72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pct"/>
            <w:tcBorders>
              <w:top w:val="single" w:color="auto" w:sz="4" w:space="0"/>
              <w:left w:val="single" w:color="auto" w:sz="4" w:space="0"/>
              <w:bottom w:val="single" w:color="auto" w:sz="4" w:space="0"/>
              <w:right w:val="single" w:color="auto" w:sz="4" w:space="0"/>
            </w:tcBorders>
            <w:vAlign w:val="center"/>
          </w:tcPr>
          <w:p w14:paraId="07B519FF">
            <w:pPr>
              <w:autoSpaceDE w:val="0"/>
              <w:spacing w:line="360" w:lineRule="auto"/>
              <w:ind w:firstLine="0" w:firstLineChars="0"/>
              <w:jc w:val="center"/>
              <w:rPr>
                <w:rFonts w:eastAsia="TimesNewRomanPSMT"/>
                <w:szCs w:val="24"/>
              </w:rPr>
            </w:pPr>
            <w:r>
              <w:rPr>
                <w:szCs w:val="24"/>
                <w:lang w:bidi="ar"/>
              </w:rPr>
              <w:t>刷子（</w:t>
            </w:r>
            <w:r>
              <w:rPr>
                <w:rFonts w:eastAsia="TimesNewRomanPSMT"/>
                <w:szCs w:val="24"/>
                <w:lang w:bidi="ar"/>
              </w:rPr>
              <w:t>2</w:t>
            </w:r>
            <w:r>
              <w:rPr>
                <w:szCs w:val="24"/>
                <w:lang w:bidi="ar"/>
              </w:rPr>
              <w:t>寸）</w:t>
            </w:r>
          </w:p>
        </w:tc>
        <w:tc>
          <w:tcPr>
            <w:tcW w:w="3034" w:type="pct"/>
            <w:tcBorders>
              <w:top w:val="single" w:color="auto" w:sz="4" w:space="0"/>
              <w:left w:val="nil"/>
              <w:bottom w:val="single" w:color="auto" w:sz="4" w:space="0"/>
              <w:right w:val="single" w:color="auto" w:sz="4" w:space="0"/>
            </w:tcBorders>
            <w:vAlign w:val="center"/>
          </w:tcPr>
          <w:p w14:paraId="4B3E992E">
            <w:pPr>
              <w:autoSpaceDE w:val="0"/>
              <w:spacing w:line="360" w:lineRule="auto"/>
              <w:ind w:firstLine="0" w:firstLineChars="0"/>
              <w:jc w:val="left"/>
              <w:rPr>
                <w:szCs w:val="24"/>
              </w:rPr>
            </w:pPr>
            <w:r>
              <w:t>https://item.jd.com/10023606511279.html</w:t>
            </w:r>
          </w:p>
        </w:tc>
        <w:tc>
          <w:tcPr>
            <w:tcW w:w="755" w:type="pct"/>
            <w:tcBorders>
              <w:top w:val="single" w:color="auto" w:sz="4" w:space="0"/>
              <w:left w:val="nil"/>
              <w:bottom w:val="single" w:color="auto" w:sz="4" w:space="0"/>
              <w:right w:val="single" w:color="auto" w:sz="4" w:space="0"/>
            </w:tcBorders>
            <w:vAlign w:val="center"/>
          </w:tcPr>
          <w:p w14:paraId="00E7E827">
            <w:pPr>
              <w:autoSpaceDE w:val="0"/>
              <w:spacing w:line="360" w:lineRule="auto"/>
              <w:ind w:firstLine="0" w:firstLineChars="0"/>
              <w:jc w:val="center"/>
              <w:rPr>
                <w:szCs w:val="24"/>
              </w:rPr>
            </w:pPr>
            <w:r>
              <w:rPr>
                <w:szCs w:val="24"/>
                <w:lang w:bidi="ar"/>
              </w:rPr>
              <w:t>3.5</w:t>
            </w:r>
          </w:p>
        </w:tc>
      </w:tr>
      <w:tr w14:paraId="78E4B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10" w:type="pct"/>
            <w:tcBorders>
              <w:top w:val="single" w:color="auto" w:sz="4" w:space="0"/>
              <w:left w:val="single" w:color="auto" w:sz="4" w:space="0"/>
              <w:bottom w:val="single" w:color="auto" w:sz="4" w:space="0"/>
              <w:right w:val="single" w:color="auto" w:sz="4" w:space="0"/>
            </w:tcBorders>
            <w:vAlign w:val="center"/>
          </w:tcPr>
          <w:p w14:paraId="37420727">
            <w:pPr>
              <w:autoSpaceDE w:val="0"/>
              <w:spacing w:line="360" w:lineRule="auto"/>
              <w:ind w:firstLine="0" w:firstLineChars="0"/>
              <w:jc w:val="center"/>
              <w:rPr>
                <w:szCs w:val="24"/>
              </w:rPr>
            </w:pPr>
            <w:r>
              <w:rPr>
                <w:szCs w:val="24"/>
                <w:lang w:bidi="ar"/>
              </w:rPr>
              <w:t>剪刀（</w:t>
            </w:r>
            <w:r>
              <w:rPr>
                <w:rFonts w:eastAsia="TimesNewRomanPSMT"/>
                <w:szCs w:val="24"/>
                <w:lang w:bidi="ar"/>
              </w:rPr>
              <w:t>160mm</w:t>
            </w:r>
            <w:r>
              <w:rPr>
                <w:szCs w:val="24"/>
                <w:lang w:bidi="ar"/>
              </w:rPr>
              <w:t>）</w:t>
            </w:r>
          </w:p>
        </w:tc>
        <w:tc>
          <w:tcPr>
            <w:tcW w:w="3034" w:type="pct"/>
            <w:tcBorders>
              <w:top w:val="single" w:color="auto" w:sz="4" w:space="0"/>
              <w:left w:val="nil"/>
              <w:bottom w:val="single" w:color="auto" w:sz="4" w:space="0"/>
              <w:right w:val="single" w:color="auto" w:sz="4" w:space="0"/>
            </w:tcBorders>
            <w:vAlign w:val="center"/>
          </w:tcPr>
          <w:p w14:paraId="4E7AB378">
            <w:pPr>
              <w:autoSpaceDE w:val="0"/>
              <w:spacing w:line="360" w:lineRule="auto"/>
              <w:ind w:firstLine="0" w:firstLineChars="0"/>
              <w:rPr>
                <w:szCs w:val="24"/>
              </w:rPr>
            </w:pPr>
            <w:r>
              <w:t>https://item.jd.com/100059741362.html#crumb-wrap</w:t>
            </w:r>
          </w:p>
        </w:tc>
        <w:tc>
          <w:tcPr>
            <w:tcW w:w="755" w:type="pct"/>
            <w:tcBorders>
              <w:top w:val="single" w:color="auto" w:sz="4" w:space="0"/>
              <w:left w:val="nil"/>
              <w:bottom w:val="single" w:color="auto" w:sz="4" w:space="0"/>
              <w:right w:val="single" w:color="auto" w:sz="4" w:space="0"/>
            </w:tcBorders>
            <w:vAlign w:val="center"/>
          </w:tcPr>
          <w:p w14:paraId="04721B2E">
            <w:pPr>
              <w:autoSpaceDE w:val="0"/>
              <w:spacing w:line="360" w:lineRule="auto"/>
              <w:ind w:firstLine="0" w:firstLineChars="0"/>
              <w:jc w:val="center"/>
              <w:rPr>
                <w:szCs w:val="24"/>
              </w:rPr>
            </w:pPr>
            <w:r>
              <w:rPr>
                <w:szCs w:val="24"/>
                <w:lang w:bidi="ar"/>
              </w:rPr>
              <w:t>4.9</w:t>
            </w:r>
          </w:p>
        </w:tc>
      </w:tr>
      <w:tr w14:paraId="55D0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10" w:type="pct"/>
            <w:tcBorders>
              <w:top w:val="single" w:color="auto" w:sz="4" w:space="0"/>
              <w:left w:val="single" w:color="auto" w:sz="4" w:space="0"/>
              <w:bottom w:val="single" w:color="auto" w:sz="4" w:space="0"/>
              <w:right w:val="single" w:color="auto" w:sz="4" w:space="0"/>
            </w:tcBorders>
            <w:vAlign w:val="center"/>
          </w:tcPr>
          <w:p w14:paraId="0D235009">
            <w:pPr>
              <w:autoSpaceDE w:val="0"/>
              <w:spacing w:line="360" w:lineRule="auto"/>
              <w:ind w:firstLine="0" w:firstLineChars="0"/>
              <w:jc w:val="center"/>
              <w:rPr>
                <w:szCs w:val="24"/>
              </w:rPr>
            </w:pPr>
            <w:r>
              <w:rPr>
                <w:szCs w:val="24"/>
                <w:lang w:bidi="ar"/>
              </w:rPr>
              <w:t>美工刀（</w:t>
            </w:r>
            <w:r>
              <w:rPr>
                <w:rFonts w:eastAsia="TimesNewRomanPSMT"/>
                <w:szCs w:val="24"/>
                <w:lang w:bidi="ar"/>
              </w:rPr>
              <w:t>18mm</w:t>
            </w:r>
            <w:r>
              <w:rPr>
                <w:szCs w:val="24"/>
                <w:lang w:bidi="ar"/>
              </w:rPr>
              <w:t>）</w:t>
            </w:r>
          </w:p>
        </w:tc>
        <w:tc>
          <w:tcPr>
            <w:tcW w:w="3034" w:type="pct"/>
            <w:tcBorders>
              <w:top w:val="single" w:color="auto" w:sz="4" w:space="0"/>
              <w:left w:val="nil"/>
              <w:bottom w:val="single" w:color="auto" w:sz="4" w:space="0"/>
              <w:right w:val="single" w:color="auto" w:sz="4" w:space="0"/>
            </w:tcBorders>
            <w:vAlign w:val="center"/>
          </w:tcPr>
          <w:p w14:paraId="4FA5A12B">
            <w:pPr>
              <w:autoSpaceDE w:val="0"/>
              <w:spacing w:line="360" w:lineRule="auto"/>
              <w:ind w:firstLine="0" w:firstLineChars="0"/>
              <w:rPr>
                <w:sz w:val="22"/>
                <w:u w:val="single"/>
              </w:rPr>
            </w:pPr>
            <w:r>
              <w:t>https://item.jd.com/100069291111.html#crumb-wrap</w:t>
            </w:r>
          </w:p>
        </w:tc>
        <w:tc>
          <w:tcPr>
            <w:tcW w:w="755" w:type="pct"/>
            <w:tcBorders>
              <w:top w:val="single" w:color="auto" w:sz="4" w:space="0"/>
              <w:left w:val="nil"/>
              <w:bottom w:val="single" w:color="auto" w:sz="4" w:space="0"/>
              <w:right w:val="single" w:color="auto" w:sz="4" w:space="0"/>
            </w:tcBorders>
            <w:vAlign w:val="center"/>
          </w:tcPr>
          <w:p w14:paraId="27C38671">
            <w:pPr>
              <w:autoSpaceDE w:val="0"/>
              <w:spacing w:line="360" w:lineRule="auto"/>
              <w:ind w:firstLine="0" w:firstLineChars="0"/>
              <w:jc w:val="center"/>
              <w:rPr>
                <w:szCs w:val="24"/>
              </w:rPr>
            </w:pPr>
            <w:r>
              <w:rPr>
                <w:szCs w:val="24"/>
                <w:lang w:bidi="ar"/>
              </w:rPr>
              <w:t>10.8</w:t>
            </w:r>
          </w:p>
        </w:tc>
      </w:tr>
    </w:tbl>
    <w:p w14:paraId="508E513D">
      <w:pPr>
        <w:spacing w:line="360" w:lineRule="auto"/>
        <w:ind w:firstLine="0" w:firstLineChars="0"/>
        <w:rPr>
          <w:szCs w:val="24"/>
        </w:rPr>
        <w:sectPr>
          <w:headerReference r:id="rId7" w:type="first"/>
          <w:footerReference r:id="rId10" w:type="first"/>
          <w:headerReference r:id="rId5" w:type="default"/>
          <w:footerReference r:id="rId8" w:type="default"/>
          <w:headerReference r:id="rId6" w:type="even"/>
          <w:footerReference r:id="rId9" w:type="even"/>
          <w:pgSz w:w="11906" w:h="16838"/>
          <w:pgMar w:top="1417" w:right="1134" w:bottom="1417" w:left="1417" w:header="851" w:footer="992" w:gutter="0"/>
          <w:cols w:space="425" w:num="1"/>
          <w:docGrid w:type="lines" w:linePitch="312" w:charSpace="0"/>
        </w:sectPr>
      </w:pPr>
      <w:r>
        <w:rPr>
          <w:szCs w:val="24"/>
        </w:rPr>
        <w:t>注：上述材料购买链接仅供参考，型号一致即可。</w:t>
      </w:r>
    </w:p>
    <w:p w14:paraId="435F1A5D">
      <w:pPr>
        <w:widowControl/>
        <w:ind w:firstLine="0" w:firstLineChars="0"/>
        <w:jc w:val="center"/>
        <w:rPr>
          <w:kern w:val="0"/>
          <w:sz w:val="28"/>
          <w:szCs w:val="28"/>
          <w:lang w:bidi="ar"/>
        </w:rPr>
      </w:pPr>
    </w:p>
    <w:p w14:paraId="59A062A4">
      <w:pPr>
        <w:widowControl/>
        <w:ind w:firstLine="0" w:firstLineChars="0"/>
        <w:jc w:val="center"/>
      </w:pPr>
      <w:r>
        <w:rPr>
          <w:kern w:val="0"/>
          <w:sz w:val="28"/>
          <w:szCs w:val="28"/>
          <w:lang w:bidi="ar"/>
        </w:rPr>
        <w:t>附表2   第十届全国城市地下空间工程专业大学生模型设计竞赛参赛报名表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5"/>
        <w:gridCol w:w="1561"/>
        <w:gridCol w:w="1545"/>
        <w:gridCol w:w="1044"/>
        <w:gridCol w:w="3114"/>
        <w:gridCol w:w="2607"/>
        <w:gridCol w:w="2608"/>
      </w:tblGrid>
      <w:tr w14:paraId="144E1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Align w:val="center"/>
          </w:tcPr>
          <w:p w14:paraId="75DF5E58">
            <w:pPr>
              <w:spacing w:line="312" w:lineRule="auto"/>
              <w:ind w:firstLine="0" w:firstLineChars="0"/>
              <w:jc w:val="center"/>
              <w:rPr>
                <w:szCs w:val="24"/>
              </w:rPr>
            </w:pPr>
            <w:r>
              <w:rPr>
                <w:szCs w:val="24"/>
              </w:rPr>
              <w:t>学校名称</w:t>
            </w:r>
          </w:p>
        </w:tc>
        <w:tc>
          <w:tcPr>
            <w:tcW w:w="4150" w:type="dxa"/>
            <w:gridSpan w:val="3"/>
            <w:vAlign w:val="center"/>
          </w:tcPr>
          <w:p w14:paraId="600291C6">
            <w:pPr>
              <w:spacing w:line="312" w:lineRule="auto"/>
              <w:ind w:firstLine="0" w:firstLineChars="0"/>
              <w:jc w:val="center"/>
              <w:rPr>
                <w:szCs w:val="24"/>
              </w:rPr>
            </w:pPr>
          </w:p>
        </w:tc>
        <w:tc>
          <w:tcPr>
            <w:tcW w:w="3114" w:type="dxa"/>
            <w:vAlign w:val="center"/>
          </w:tcPr>
          <w:p w14:paraId="2937F82E">
            <w:pPr>
              <w:spacing w:line="312" w:lineRule="auto"/>
              <w:ind w:firstLine="0" w:firstLineChars="0"/>
              <w:jc w:val="center"/>
              <w:rPr>
                <w:szCs w:val="24"/>
              </w:rPr>
            </w:pPr>
            <w:r>
              <w:rPr>
                <w:szCs w:val="24"/>
              </w:rPr>
              <w:t>学院名称</w:t>
            </w:r>
          </w:p>
        </w:tc>
        <w:tc>
          <w:tcPr>
            <w:tcW w:w="5215" w:type="dxa"/>
            <w:gridSpan w:val="2"/>
            <w:vAlign w:val="center"/>
          </w:tcPr>
          <w:p w14:paraId="4535E891">
            <w:pPr>
              <w:spacing w:line="312" w:lineRule="auto"/>
              <w:ind w:firstLine="0" w:firstLineChars="0"/>
              <w:jc w:val="center"/>
              <w:rPr>
                <w:szCs w:val="24"/>
              </w:rPr>
            </w:pPr>
          </w:p>
        </w:tc>
      </w:tr>
      <w:tr w14:paraId="2F73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21" w:type="dxa"/>
            <w:gridSpan w:val="3"/>
            <w:vAlign w:val="center"/>
          </w:tcPr>
          <w:p w14:paraId="2FD7D050">
            <w:pPr>
              <w:spacing w:line="312" w:lineRule="auto"/>
              <w:ind w:firstLine="0" w:firstLineChars="0"/>
              <w:jc w:val="center"/>
              <w:rPr>
                <w:szCs w:val="24"/>
              </w:rPr>
            </w:pPr>
            <w:r>
              <w:rPr>
                <w:szCs w:val="24"/>
              </w:rPr>
              <w:t>姓名</w:t>
            </w:r>
          </w:p>
        </w:tc>
        <w:tc>
          <w:tcPr>
            <w:tcW w:w="1044" w:type="dxa"/>
            <w:vAlign w:val="center"/>
          </w:tcPr>
          <w:p w14:paraId="11D7F2A5">
            <w:pPr>
              <w:spacing w:line="312" w:lineRule="auto"/>
              <w:ind w:firstLine="0" w:firstLineChars="0"/>
              <w:jc w:val="center"/>
              <w:rPr>
                <w:szCs w:val="24"/>
              </w:rPr>
            </w:pPr>
            <w:r>
              <w:rPr>
                <w:szCs w:val="24"/>
              </w:rPr>
              <w:t>性别</w:t>
            </w:r>
          </w:p>
        </w:tc>
        <w:tc>
          <w:tcPr>
            <w:tcW w:w="3114" w:type="dxa"/>
            <w:vAlign w:val="center"/>
          </w:tcPr>
          <w:p w14:paraId="4A2A79B9">
            <w:pPr>
              <w:spacing w:line="312" w:lineRule="auto"/>
              <w:ind w:firstLine="0" w:firstLineChars="0"/>
              <w:jc w:val="center"/>
              <w:rPr>
                <w:szCs w:val="24"/>
              </w:rPr>
            </w:pPr>
            <w:r>
              <w:rPr>
                <w:szCs w:val="24"/>
              </w:rPr>
              <w:t>教师职称/学生专业班级</w:t>
            </w:r>
          </w:p>
        </w:tc>
        <w:tc>
          <w:tcPr>
            <w:tcW w:w="2607" w:type="dxa"/>
            <w:vAlign w:val="center"/>
          </w:tcPr>
          <w:p w14:paraId="534C697A">
            <w:pPr>
              <w:spacing w:line="312" w:lineRule="auto"/>
              <w:ind w:firstLine="0" w:firstLineChars="0"/>
              <w:jc w:val="center"/>
              <w:rPr>
                <w:szCs w:val="24"/>
              </w:rPr>
            </w:pPr>
            <w:r>
              <w:rPr>
                <w:szCs w:val="24"/>
              </w:rPr>
              <w:t>联系电话</w:t>
            </w:r>
          </w:p>
        </w:tc>
        <w:tc>
          <w:tcPr>
            <w:tcW w:w="2608" w:type="dxa"/>
            <w:vAlign w:val="center"/>
          </w:tcPr>
          <w:p w14:paraId="56F9C550">
            <w:pPr>
              <w:spacing w:line="312" w:lineRule="auto"/>
              <w:ind w:firstLine="0" w:firstLineChars="0"/>
              <w:jc w:val="center"/>
              <w:rPr>
                <w:szCs w:val="24"/>
              </w:rPr>
            </w:pPr>
            <w:r>
              <w:rPr>
                <w:szCs w:val="24"/>
              </w:rPr>
              <w:t>电子邮箱</w:t>
            </w:r>
          </w:p>
        </w:tc>
      </w:tr>
      <w:tr w14:paraId="5C47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Merge w:val="restart"/>
            <w:vAlign w:val="center"/>
          </w:tcPr>
          <w:p w14:paraId="296DBD00">
            <w:pPr>
              <w:spacing w:line="312" w:lineRule="auto"/>
              <w:ind w:firstLine="0" w:firstLineChars="0"/>
              <w:jc w:val="center"/>
              <w:rPr>
                <w:szCs w:val="24"/>
              </w:rPr>
            </w:pPr>
            <w:r>
              <w:rPr>
                <w:szCs w:val="24"/>
              </w:rPr>
              <w:t>第一代表队</w:t>
            </w:r>
          </w:p>
        </w:tc>
        <w:tc>
          <w:tcPr>
            <w:tcW w:w="1561" w:type="dxa"/>
            <w:vAlign w:val="center"/>
          </w:tcPr>
          <w:p w14:paraId="4C9AD693">
            <w:pPr>
              <w:spacing w:line="312" w:lineRule="auto"/>
              <w:ind w:firstLine="0" w:firstLineChars="0"/>
              <w:jc w:val="center"/>
              <w:rPr>
                <w:szCs w:val="24"/>
              </w:rPr>
            </w:pPr>
            <w:r>
              <w:rPr>
                <w:szCs w:val="24"/>
              </w:rPr>
              <w:t>指导老师1</w:t>
            </w:r>
          </w:p>
        </w:tc>
        <w:tc>
          <w:tcPr>
            <w:tcW w:w="1545" w:type="dxa"/>
            <w:vAlign w:val="center"/>
          </w:tcPr>
          <w:p w14:paraId="5F91145F">
            <w:pPr>
              <w:spacing w:line="312" w:lineRule="auto"/>
              <w:ind w:firstLine="0" w:firstLineChars="0"/>
              <w:jc w:val="center"/>
              <w:rPr>
                <w:szCs w:val="24"/>
              </w:rPr>
            </w:pPr>
          </w:p>
        </w:tc>
        <w:tc>
          <w:tcPr>
            <w:tcW w:w="1044" w:type="dxa"/>
            <w:vAlign w:val="center"/>
          </w:tcPr>
          <w:p w14:paraId="20AA68C0">
            <w:pPr>
              <w:spacing w:line="312" w:lineRule="auto"/>
              <w:ind w:firstLine="0" w:firstLineChars="0"/>
              <w:jc w:val="center"/>
              <w:rPr>
                <w:szCs w:val="24"/>
              </w:rPr>
            </w:pPr>
          </w:p>
        </w:tc>
        <w:tc>
          <w:tcPr>
            <w:tcW w:w="3114" w:type="dxa"/>
            <w:vAlign w:val="center"/>
          </w:tcPr>
          <w:p w14:paraId="03B755B4">
            <w:pPr>
              <w:spacing w:line="312" w:lineRule="auto"/>
              <w:ind w:firstLine="0" w:firstLineChars="0"/>
              <w:jc w:val="center"/>
              <w:rPr>
                <w:szCs w:val="24"/>
              </w:rPr>
            </w:pPr>
          </w:p>
        </w:tc>
        <w:tc>
          <w:tcPr>
            <w:tcW w:w="2607" w:type="dxa"/>
            <w:vAlign w:val="center"/>
          </w:tcPr>
          <w:p w14:paraId="03042F39">
            <w:pPr>
              <w:spacing w:line="312" w:lineRule="auto"/>
              <w:ind w:firstLine="0" w:firstLineChars="0"/>
              <w:jc w:val="center"/>
              <w:rPr>
                <w:szCs w:val="24"/>
              </w:rPr>
            </w:pPr>
          </w:p>
        </w:tc>
        <w:tc>
          <w:tcPr>
            <w:tcW w:w="2608" w:type="dxa"/>
            <w:vAlign w:val="center"/>
          </w:tcPr>
          <w:p w14:paraId="0479211E">
            <w:pPr>
              <w:spacing w:line="312" w:lineRule="auto"/>
              <w:ind w:firstLine="0" w:firstLineChars="0"/>
              <w:jc w:val="center"/>
              <w:rPr>
                <w:szCs w:val="24"/>
              </w:rPr>
            </w:pPr>
          </w:p>
        </w:tc>
      </w:tr>
      <w:tr w14:paraId="55618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Merge w:val="continue"/>
            <w:vAlign w:val="center"/>
          </w:tcPr>
          <w:p w14:paraId="59C01850">
            <w:pPr>
              <w:spacing w:line="312" w:lineRule="auto"/>
              <w:ind w:firstLine="0" w:firstLineChars="0"/>
              <w:jc w:val="center"/>
              <w:rPr>
                <w:szCs w:val="24"/>
              </w:rPr>
            </w:pPr>
          </w:p>
        </w:tc>
        <w:tc>
          <w:tcPr>
            <w:tcW w:w="1561" w:type="dxa"/>
            <w:vAlign w:val="center"/>
          </w:tcPr>
          <w:p w14:paraId="026255C5">
            <w:pPr>
              <w:spacing w:line="312" w:lineRule="auto"/>
              <w:ind w:firstLine="0" w:firstLineChars="0"/>
              <w:jc w:val="center"/>
              <w:rPr>
                <w:szCs w:val="24"/>
              </w:rPr>
            </w:pPr>
            <w:r>
              <w:rPr>
                <w:szCs w:val="24"/>
              </w:rPr>
              <w:t>指导老师2</w:t>
            </w:r>
          </w:p>
        </w:tc>
        <w:tc>
          <w:tcPr>
            <w:tcW w:w="1545" w:type="dxa"/>
            <w:vAlign w:val="center"/>
          </w:tcPr>
          <w:p w14:paraId="0B0E7C44">
            <w:pPr>
              <w:spacing w:line="312" w:lineRule="auto"/>
              <w:ind w:firstLine="0" w:firstLineChars="0"/>
              <w:jc w:val="center"/>
              <w:rPr>
                <w:szCs w:val="24"/>
              </w:rPr>
            </w:pPr>
          </w:p>
        </w:tc>
        <w:tc>
          <w:tcPr>
            <w:tcW w:w="1044" w:type="dxa"/>
            <w:vAlign w:val="center"/>
          </w:tcPr>
          <w:p w14:paraId="12B0E7FF">
            <w:pPr>
              <w:spacing w:line="312" w:lineRule="auto"/>
              <w:ind w:firstLine="0" w:firstLineChars="0"/>
              <w:jc w:val="center"/>
              <w:rPr>
                <w:szCs w:val="24"/>
              </w:rPr>
            </w:pPr>
          </w:p>
        </w:tc>
        <w:tc>
          <w:tcPr>
            <w:tcW w:w="3114" w:type="dxa"/>
            <w:vAlign w:val="center"/>
          </w:tcPr>
          <w:p w14:paraId="48540FCA">
            <w:pPr>
              <w:spacing w:line="312" w:lineRule="auto"/>
              <w:ind w:firstLine="0" w:firstLineChars="0"/>
              <w:jc w:val="center"/>
              <w:rPr>
                <w:szCs w:val="24"/>
              </w:rPr>
            </w:pPr>
          </w:p>
        </w:tc>
        <w:tc>
          <w:tcPr>
            <w:tcW w:w="2607" w:type="dxa"/>
            <w:vAlign w:val="center"/>
          </w:tcPr>
          <w:p w14:paraId="09636FC6">
            <w:pPr>
              <w:spacing w:line="312" w:lineRule="auto"/>
              <w:ind w:firstLine="0" w:firstLineChars="0"/>
              <w:jc w:val="center"/>
              <w:rPr>
                <w:szCs w:val="24"/>
              </w:rPr>
            </w:pPr>
          </w:p>
        </w:tc>
        <w:tc>
          <w:tcPr>
            <w:tcW w:w="2608" w:type="dxa"/>
            <w:vAlign w:val="center"/>
          </w:tcPr>
          <w:p w14:paraId="1BD96B67">
            <w:pPr>
              <w:spacing w:line="312" w:lineRule="auto"/>
              <w:ind w:firstLine="0" w:firstLineChars="0"/>
              <w:jc w:val="center"/>
              <w:rPr>
                <w:szCs w:val="24"/>
              </w:rPr>
            </w:pPr>
          </w:p>
        </w:tc>
      </w:tr>
      <w:tr w14:paraId="1542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Merge w:val="continue"/>
            <w:vAlign w:val="center"/>
          </w:tcPr>
          <w:p w14:paraId="5E3F1366">
            <w:pPr>
              <w:spacing w:line="312" w:lineRule="auto"/>
              <w:ind w:firstLine="0" w:firstLineChars="0"/>
              <w:jc w:val="center"/>
              <w:rPr>
                <w:szCs w:val="24"/>
              </w:rPr>
            </w:pPr>
          </w:p>
        </w:tc>
        <w:tc>
          <w:tcPr>
            <w:tcW w:w="1561" w:type="dxa"/>
            <w:vAlign w:val="center"/>
          </w:tcPr>
          <w:p w14:paraId="11CB0E64">
            <w:pPr>
              <w:spacing w:line="312" w:lineRule="auto"/>
              <w:ind w:firstLine="0" w:firstLineChars="0"/>
              <w:jc w:val="center"/>
              <w:rPr>
                <w:szCs w:val="24"/>
              </w:rPr>
            </w:pPr>
            <w:r>
              <w:rPr>
                <w:szCs w:val="24"/>
              </w:rPr>
              <w:t>队长</w:t>
            </w:r>
          </w:p>
        </w:tc>
        <w:tc>
          <w:tcPr>
            <w:tcW w:w="1545" w:type="dxa"/>
            <w:vAlign w:val="center"/>
          </w:tcPr>
          <w:p w14:paraId="284EB41E">
            <w:pPr>
              <w:spacing w:line="312" w:lineRule="auto"/>
              <w:ind w:firstLine="0" w:firstLineChars="0"/>
              <w:jc w:val="center"/>
              <w:rPr>
                <w:szCs w:val="24"/>
              </w:rPr>
            </w:pPr>
          </w:p>
        </w:tc>
        <w:tc>
          <w:tcPr>
            <w:tcW w:w="1044" w:type="dxa"/>
            <w:vAlign w:val="center"/>
          </w:tcPr>
          <w:p w14:paraId="158FBC4F">
            <w:pPr>
              <w:spacing w:line="312" w:lineRule="auto"/>
              <w:ind w:firstLine="0" w:firstLineChars="0"/>
              <w:jc w:val="center"/>
              <w:rPr>
                <w:szCs w:val="24"/>
              </w:rPr>
            </w:pPr>
          </w:p>
        </w:tc>
        <w:tc>
          <w:tcPr>
            <w:tcW w:w="3114" w:type="dxa"/>
            <w:vAlign w:val="center"/>
          </w:tcPr>
          <w:p w14:paraId="38941F2D">
            <w:pPr>
              <w:spacing w:line="312" w:lineRule="auto"/>
              <w:ind w:firstLine="0" w:firstLineChars="0"/>
              <w:jc w:val="center"/>
              <w:rPr>
                <w:szCs w:val="24"/>
              </w:rPr>
            </w:pPr>
          </w:p>
        </w:tc>
        <w:tc>
          <w:tcPr>
            <w:tcW w:w="2607" w:type="dxa"/>
            <w:vAlign w:val="center"/>
          </w:tcPr>
          <w:p w14:paraId="4EC98836">
            <w:pPr>
              <w:spacing w:line="312" w:lineRule="auto"/>
              <w:ind w:firstLine="0" w:firstLineChars="0"/>
              <w:jc w:val="center"/>
              <w:rPr>
                <w:szCs w:val="24"/>
              </w:rPr>
            </w:pPr>
          </w:p>
        </w:tc>
        <w:tc>
          <w:tcPr>
            <w:tcW w:w="2608" w:type="dxa"/>
            <w:vAlign w:val="center"/>
          </w:tcPr>
          <w:p w14:paraId="73DAEE80">
            <w:pPr>
              <w:spacing w:line="312" w:lineRule="auto"/>
              <w:ind w:firstLine="0" w:firstLineChars="0"/>
              <w:jc w:val="center"/>
              <w:rPr>
                <w:szCs w:val="24"/>
              </w:rPr>
            </w:pPr>
          </w:p>
        </w:tc>
      </w:tr>
      <w:tr w14:paraId="42B20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Merge w:val="continue"/>
            <w:vAlign w:val="center"/>
          </w:tcPr>
          <w:p w14:paraId="0FAE5EB5">
            <w:pPr>
              <w:spacing w:line="312" w:lineRule="auto"/>
              <w:ind w:firstLine="0" w:firstLineChars="0"/>
              <w:jc w:val="center"/>
              <w:rPr>
                <w:szCs w:val="24"/>
              </w:rPr>
            </w:pPr>
          </w:p>
        </w:tc>
        <w:tc>
          <w:tcPr>
            <w:tcW w:w="1561" w:type="dxa"/>
            <w:vAlign w:val="center"/>
          </w:tcPr>
          <w:p w14:paraId="3B30A8D7">
            <w:pPr>
              <w:spacing w:line="312" w:lineRule="auto"/>
              <w:ind w:firstLine="0" w:firstLineChars="0"/>
              <w:jc w:val="center"/>
              <w:rPr>
                <w:szCs w:val="24"/>
              </w:rPr>
            </w:pPr>
            <w:r>
              <w:rPr>
                <w:szCs w:val="24"/>
              </w:rPr>
              <w:t>队员1</w:t>
            </w:r>
          </w:p>
        </w:tc>
        <w:tc>
          <w:tcPr>
            <w:tcW w:w="1545" w:type="dxa"/>
            <w:vAlign w:val="center"/>
          </w:tcPr>
          <w:p w14:paraId="46EC9BAA">
            <w:pPr>
              <w:spacing w:line="312" w:lineRule="auto"/>
              <w:ind w:firstLine="0" w:firstLineChars="0"/>
              <w:jc w:val="center"/>
              <w:rPr>
                <w:szCs w:val="24"/>
              </w:rPr>
            </w:pPr>
          </w:p>
        </w:tc>
        <w:tc>
          <w:tcPr>
            <w:tcW w:w="1044" w:type="dxa"/>
            <w:vAlign w:val="center"/>
          </w:tcPr>
          <w:p w14:paraId="10EB9E77">
            <w:pPr>
              <w:spacing w:line="312" w:lineRule="auto"/>
              <w:ind w:firstLine="0" w:firstLineChars="0"/>
              <w:jc w:val="center"/>
              <w:rPr>
                <w:szCs w:val="24"/>
              </w:rPr>
            </w:pPr>
          </w:p>
        </w:tc>
        <w:tc>
          <w:tcPr>
            <w:tcW w:w="3114" w:type="dxa"/>
            <w:vAlign w:val="center"/>
          </w:tcPr>
          <w:p w14:paraId="6D2746BF">
            <w:pPr>
              <w:spacing w:line="312" w:lineRule="auto"/>
              <w:ind w:firstLine="0" w:firstLineChars="0"/>
              <w:jc w:val="center"/>
              <w:rPr>
                <w:szCs w:val="24"/>
              </w:rPr>
            </w:pPr>
          </w:p>
        </w:tc>
        <w:tc>
          <w:tcPr>
            <w:tcW w:w="2607" w:type="dxa"/>
            <w:vAlign w:val="center"/>
          </w:tcPr>
          <w:p w14:paraId="07B25BD7">
            <w:pPr>
              <w:spacing w:line="312" w:lineRule="auto"/>
              <w:ind w:firstLine="0" w:firstLineChars="0"/>
              <w:jc w:val="center"/>
              <w:rPr>
                <w:szCs w:val="24"/>
              </w:rPr>
            </w:pPr>
          </w:p>
        </w:tc>
        <w:tc>
          <w:tcPr>
            <w:tcW w:w="2608" w:type="dxa"/>
            <w:vAlign w:val="center"/>
          </w:tcPr>
          <w:p w14:paraId="66A0C58A">
            <w:pPr>
              <w:spacing w:line="312" w:lineRule="auto"/>
              <w:ind w:firstLine="0" w:firstLineChars="0"/>
              <w:jc w:val="center"/>
              <w:rPr>
                <w:szCs w:val="24"/>
              </w:rPr>
            </w:pPr>
          </w:p>
        </w:tc>
      </w:tr>
      <w:tr w14:paraId="627A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Merge w:val="continue"/>
            <w:vAlign w:val="center"/>
          </w:tcPr>
          <w:p w14:paraId="4B1F59CB">
            <w:pPr>
              <w:spacing w:line="312" w:lineRule="auto"/>
              <w:ind w:firstLine="0" w:firstLineChars="0"/>
              <w:jc w:val="center"/>
              <w:rPr>
                <w:szCs w:val="24"/>
              </w:rPr>
            </w:pPr>
          </w:p>
        </w:tc>
        <w:tc>
          <w:tcPr>
            <w:tcW w:w="1561" w:type="dxa"/>
            <w:vAlign w:val="center"/>
          </w:tcPr>
          <w:p w14:paraId="50E27C86">
            <w:pPr>
              <w:spacing w:line="312" w:lineRule="auto"/>
              <w:ind w:firstLine="0" w:firstLineChars="0"/>
              <w:jc w:val="center"/>
              <w:rPr>
                <w:szCs w:val="24"/>
              </w:rPr>
            </w:pPr>
            <w:r>
              <w:rPr>
                <w:szCs w:val="24"/>
              </w:rPr>
              <w:t>队员2</w:t>
            </w:r>
          </w:p>
        </w:tc>
        <w:tc>
          <w:tcPr>
            <w:tcW w:w="1545" w:type="dxa"/>
            <w:vAlign w:val="center"/>
          </w:tcPr>
          <w:p w14:paraId="52EE39A3">
            <w:pPr>
              <w:spacing w:line="312" w:lineRule="auto"/>
              <w:ind w:firstLine="0" w:firstLineChars="0"/>
              <w:jc w:val="center"/>
              <w:rPr>
                <w:szCs w:val="24"/>
              </w:rPr>
            </w:pPr>
          </w:p>
        </w:tc>
        <w:tc>
          <w:tcPr>
            <w:tcW w:w="1044" w:type="dxa"/>
            <w:vAlign w:val="center"/>
          </w:tcPr>
          <w:p w14:paraId="6EFE5AE7">
            <w:pPr>
              <w:spacing w:line="312" w:lineRule="auto"/>
              <w:ind w:firstLine="0" w:firstLineChars="0"/>
              <w:jc w:val="center"/>
              <w:rPr>
                <w:szCs w:val="24"/>
              </w:rPr>
            </w:pPr>
          </w:p>
        </w:tc>
        <w:tc>
          <w:tcPr>
            <w:tcW w:w="3114" w:type="dxa"/>
            <w:vAlign w:val="center"/>
          </w:tcPr>
          <w:p w14:paraId="16499D9F">
            <w:pPr>
              <w:spacing w:line="312" w:lineRule="auto"/>
              <w:ind w:firstLine="0" w:firstLineChars="0"/>
              <w:jc w:val="center"/>
              <w:rPr>
                <w:szCs w:val="24"/>
              </w:rPr>
            </w:pPr>
          </w:p>
        </w:tc>
        <w:tc>
          <w:tcPr>
            <w:tcW w:w="2607" w:type="dxa"/>
            <w:vAlign w:val="center"/>
          </w:tcPr>
          <w:p w14:paraId="2F38B7C2">
            <w:pPr>
              <w:spacing w:line="312" w:lineRule="auto"/>
              <w:ind w:firstLine="0" w:firstLineChars="0"/>
              <w:jc w:val="center"/>
              <w:rPr>
                <w:szCs w:val="24"/>
              </w:rPr>
            </w:pPr>
          </w:p>
        </w:tc>
        <w:tc>
          <w:tcPr>
            <w:tcW w:w="2608" w:type="dxa"/>
            <w:vAlign w:val="center"/>
          </w:tcPr>
          <w:p w14:paraId="2EC24C95">
            <w:pPr>
              <w:spacing w:line="312" w:lineRule="auto"/>
              <w:ind w:firstLine="0" w:firstLineChars="0"/>
              <w:jc w:val="center"/>
              <w:rPr>
                <w:szCs w:val="24"/>
              </w:rPr>
            </w:pPr>
          </w:p>
        </w:tc>
      </w:tr>
      <w:tr w14:paraId="31C4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Merge w:val="restart"/>
            <w:vAlign w:val="center"/>
          </w:tcPr>
          <w:p w14:paraId="4AA62FEF">
            <w:pPr>
              <w:spacing w:line="312" w:lineRule="auto"/>
              <w:ind w:firstLine="0" w:firstLineChars="0"/>
              <w:jc w:val="center"/>
              <w:rPr>
                <w:szCs w:val="24"/>
              </w:rPr>
            </w:pPr>
            <w:r>
              <w:rPr>
                <w:szCs w:val="24"/>
              </w:rPr>
              <w:t>第二代表队</w:t>
            </w:r>
          </w:p>
        </w:tc>
        <w:tc>
          <w:tcPr>
            <w:tcW w:w="1561" w:type="dxa"/>
            <w:vAlign w:val="center"/>
          </w:tcPr>
          <w:p w14:paraId="6DDB7690">
            <w:pPr>
              <w:spacing w:line="312" w:lineRule="auto"/>
              <w:ind w:firstLine="0" w:firstLineChars="0"/>
              <w:jc w:val="center"/>
              <w:rPr>
                <w:szCs w:val="24"/>
              </w:rPr>
            </w:pPr>
            <w:r>
              <w:rPr>
                <w:szCs w:val="24"/>
              </w:rPr>
              <w:t>指导老师1</w:t>
            </w:r>
          </w:p>
        </w:tc>
        <w:tc>
          <w:tcPr>
            <w:tcW w:w="1545" w:type="dxa"/>
            <w:vAlign w:val="center"/>
          </w:tcPr>
          <w:p w14:paraId="1B3FE150">
            <w:pPr>
              <w:spacing w:line="312" w:lineRule="auto"/>
              <w:ind w:firstLine="0" w:firstLineChars="0"/>
              <w:jc w:val="center"/>
              <w:rPr>
                <w:szCs w:val="24"/>
              </w:rPr>
            </w:pPr>
          </w:p>
        </w:tc>
        <w:tc>
          <w:tcPr>
            <w:tcW w:w="1044" w:type="dxa"/>
            <w:vAlign w:val="center"/>
          </w:tcPr>
          <w:p w14:paraId="2398CA45">
            <w:pPr>
              <w:spacing w:line="312" w:lineRule="auto"/>
              <w:ind w:firstLine="0" w:firstLineChars="0"/>
              <w:jc w:val="center"/>
              <w:rPr>
                <w:szCs w:val="24"/>
              </w:rPr>
            </w:pPr>
          </w:p>
        </w:tc>
        <w:tc>
          <w:tcPr>
            <w:tcW w:w="3114" w:type="dxa"/>
            <w:vAlign w:val="center"/>
          </w:tcPr>
          <w:p w14:paraId="4DFD85B0">
            <w:pPr>
              <w:spacing w:line="312" w:lineRule="auto"/>
              <w:ind w:firstLine="0" w:firstLineChars="0"/>
              <w:jc w:val="center"/>
              <w:rPr>
                <w:szCs w:val="24"/>
              </w:rPr>
            </w:pPr>
          </w:p>
        </w:tc>
        <w:tc>
          <w:tcPr>
            <w:tcW w:w="2607" w:type="dxa"/>
            <w:vAlign w:val="center"/>
          </w:tcPr>
          <w:p w14:paraId="57C803AA">
            <w:pPr>
              <w:spacing w:line="312" w:lineRule="auto"/>
              <w:ind w:firstLine="0" w:firstLineChars="0"/>
              <w:jc w:val="center"/>
              <w:rPr>
                <w:szCs w:val="24"/>
              </w:rPr>
            </w:pPr>
          </w:p>
        </w:tc>
        <w:tc>
          <w:tcPr>
            <w:tcW w:w="2608" w:type="dxa"/>
            <w:vAlign w:val="center"/>
          </w:tcPr>
          <w:p w14:paraId="43C47FC2">
            <w:pPr>
              <w:spacing w:line="312" w:lineRule="auto"/>
              <w:ind w:firstLine="0" w:firstLineChars="0"/>
              <w:jc w:val="center"/>
              <w:rPr>
                <w:szCs w:val="24"/>
              </w:rPr>
            </w:pPr>
          </w:p>
        </w:tc>
      </w:tr>
      <w:tr w14:paraId="7FD99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Merge w:val="continue"/>
            <w:vAlign w:val="center"/>
          </w:tcPr>
          <w:p w14:paraId="1EC88D96">
            <w:pPr>
              <w:spacing w:line="312" w:lineRule="auto"/>
              <w:ind w:firstLine="0" w:firstLineChars="0"/>
              <w:jc w:val="center"/>
              <w:rPr>
                <w:szCs w:val="24"/>
              </w:rPr>
            </w:pPr>
          </w:p>
        </w:tc>
        <w:tc>
          <w:tcPr>
            <w:tcW w:w="1561" w:type="dxa"/>
            <w:vAlign w:val="center"/>
          </w:tcPr>
          <w:p w14:paraId="5F0AA7FE">
            <w:pPr>
              <w:spacing w:line="312" w:lineRule="auto"/>
              <w:ind w:firstLine="0" w:firstLineChars="0"/>
              <w:jc w:val="center"/>
              <w:rPr>
                <w:szCs w:val="24"/>
              </w:rPr>
            </w:pPr>
            <w:r>
              <w:rPr>
                <w:szCs w:val="24"/>
              </w:rPr>
              <w:t>指导老师2</w:t>
            </w:r>
          </w:p>
        </w:tc>
        <w:tc>
          <w:tcPr>
            <w:tcW w:w="1545" w:type="dxa"/>
            <w:vAlign w:val="center"/>
          </w:tcPr>
          <w:p w14:paraId="3470DBF9">
            <w:pPr>
              <w:spacing w:line="312" w:lineRule="auto"/>
              <w:ind w:firstLine="0" w:firstLineChars="0"/>
              <w:jc w:val="center"/>
              <w:rPr>
                <w:szCs w:val="24"/>
              </w:rPr>
            </w:pPr>
          </w:p>
        </w:tc>
        <w:tc>
          <w:tcPr>
            <w:tcW w:w="1044" w:type="dxa"/>
            <w:vAlign w:val="center"/>
          </w:tcPr>
          <w:p w14:paraId="65465B04">
            <w:pPr>
              <w:spacing w:line="312" w:lineRule="auto"/>
              <w:ind w:firstLine="0" w:firstLineChars="0"/>
              <w:jc w:val="center"/>
              <w:rPr>
                <w:szCs w:val="24"/>
              </w:rPr>
            </w:pPr>
          </w:p>
        </w:tc>
        <w:tc>
          <w:tcPr>
            <w:tcW w:w="3114" w:type="dxa"/>
            <w:vAlign w:val="center"/>
          </w:tcPr>
          <w:p w14:paraId="323DC95D">
            <w:pPr>
              <w:spacing w:line="312" w:lineRule="auto"/>
              <w:ind w:firstLine="0" w:firstLineChars="0"/>
              <w:jc w:val="center"/>
              <w:rPr>
                <w:szCs w:val="24"/>
              </w:rPr>
            </w:pPr>
          </w:p>
        </w:tc>
        <w:tc>
          <w:tcPr>
            <w:tcW w:w="2607" w:type="dxa"/>
            <w:vAlign w:val="center"/>
          </w:tcPr>
          <w:p w14:paraId="3E69327C">
            <w:pPr>
              <w:spacing w:line="312" w:lineRule="auto"/>
              <w:ind w:firstLine="0" w:firstLineChars="0"/>
              <w:jc w:val="center"/>
              <w:rPr>
                <w:szCs w:val="24"/>
              </w:rPr>
            </w:pPr>
          </w:p>
        </w:tc>
        <w:tc>
          <w:tcPr>
            <w:tcW w:w="2608" w:type="dxa"/>
            <w:vAlign w:val="center"/>
          </w:tcPr>
          <w:p w14:paraId="0F5C040E">
            <w:pPr>
              <w:spacing w:line="312" w:lineRule="auto"/>
              <w:ind w:firstLine="0" w:firstLineChars="0"/>
              <w:jc w:val="center"/>
              <w:rPr>
                <w:szCs w:val="24"/>
              </w:rPr>
            </w:pPr>
          </w:p>
        </w:tc>
      </w:tr>
      <w:tr w14:paraId="7E6C2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Merge w:val="continue"/>
            <w:vAlign w:val="center"/>
          </w:tcPr>
          <w:p w14:paraId="4ACB90B7">
            <w:pPr>
              <w:spacing w:line="312" w:lineRule="auto"/>
              <w:ind w:firstLine="0" w:firstLineChars="0"/>
              <w:jc w:val="center"/>
              <w:rPr>
                <w:szCs w:val="24"/>
              </w:rPr>
            </w:pPr>
          </w:p>
        </w:tc>
        <w:tc>
          <w:tcPr>
            <w:tcW w:w="1561" w:type="dxa"/>
            <w:vAlign w:val="center"/>
          </w:tcPr>
          <w:p w14:paraId="3EBBF85B">
            <w:pPr>
              <w:spacing w:line="312" w:lineRule="auto"/>
              <w:ind w:firstLine="0" w:firstLineChars="0"/>
              <w:jc w:val="center"/>
              <w:rPr>
                <w:szCs w:val="24"/>
              </w:rPr>
            </w:pPr>
            <w:r>
              <w:rPr>
                <w:szCs w:val="24"/>
              </w:rPr>
              <w:t>队长</w:t>
            </w:r>
          </w:p>
        </w:tc>
        <w:tc>
          <w:tcPr>
            <w:tcW w:w="1545" w:type="dxa"/>
            <w:vAlign w:val="center"/>
          </w:tcPr>
          <w:p w14:paraId="3F12F8EE">
            <w:pPr>
              <w:spacing w:line="312" w:lineRule="auto"/>
              <w:ind w:firstLine="0" w:firstLineChars="0"/>
              <w:jc w:val="center"/>
              <w:rPr>
                <w:szCs w:val="24"/>
              </w:rPr>
            </w:pPr>
          </w:p>
        </w:tc>
        <w:tc>
          <w:tcPr>
            <w:tcW w:w="1044" w:type="dxa"/>
            <w:vAlign w:val="center"/>
          </w:tcPr>
          <w:p w14:paraId="45F675E1">
            <w:pPr>
              <w:spacing w:line="312" w:lineRule="auto"/>
              <w:ind w:firstLine="0" w:firstLineChars="0"/>
              <w:jc w:val="center"/>
              <w:rPr>
                <w:szCs w:val="24"/>
              </w:rPr>
            </w:pPr>
          </w:p>
        </w:tc>
        <w:tc>
          <w:tcPr>
            <w:tcW w:w="3114" w:type="dxa"/>
            <w:vAlign w:val="center"/>
          </w:tcPr>
          <w:p w14:paraId="74CB25DF">
            <w:pPr>
              <w:spacing w:line="312" w:lineRule="auto"/>
              <w:ind w:firstLine="0" w:firstLineChars="0"/>
              <w:jc w:val="center"/>
              <w:rPr>
                <w:szCs w:val="24"/>
              </w:rPr>
            </w:pPr>
          </w:p>
        </w:tc>
        <w:tc>
          <w:tcPr>
            <w:tcW w:w="2607" w:type="dxa"/>
            <w:vAlign w:val="center"/>
          </w:tcPr>
          <w:p w14:paraId="0AE43F54">
            <w:pPr>
              <w:spacing w:line="312" w:lineRule="auto"/>
              <w:ind w:firstLine="0" w:firstLineChars="0"/>
              <w:jc w:val="center"/>
              <w:rPr>
                <w:szCs w:val="24"/>
              </w:rPr>
            </w:pPr>
          </w:p>
        </w:tc>
        <w:tc>
          <w:tcPr>
            <w:tcW w:w="2608" w:type="dxa"/>
            <w:vAlign w:val="center"/>
          </w:tcPr>
          <w:p w14:paraId="0FE932F2">
            <w:pPr>
              <w:spacing w:line="312" w:lineRule="auto"/>
              <w:ind w:firstLine="0" w:firstLineChars="0"/>
              <w:jc w:val="center"/>
              <w:rPr>
                <w:szCs w:val="24"/>
              </w:rPr>
            </w:pPr>
          </w:p>
        </w:tc>
      </w:tr>
      <w:tr w14:paraId="48092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Merge w:val="continue"/>
            <w:vAlign w:val="center"/>
          </w:tcPr>
          <w:p w14:paraId="4F70B156">
            <w:pPr>
              <w:spacing w:line="312" w:lineRule="auto"/>
              <w:ind w:firstLine="0" w:firstLineChars="0"/>
              <w:jc w:val="center"/>
              <w:rPr>
                <w:szCs w:val="24"/>
              </w:rPr>
            </w:pPr>
          </w:p>
        </w:tc>
        <w:tc>
          <w:tcPr>
            <w:tcW w:w="1561" w:type="dxa"/>
            <w:vAlign w:val="center"/>
          </w:tcPr>
          <w:p w14:paraId="15978AFE">
            <w:pPr>
              <w:spacing w:line="312" w:lineRule="auto"/>
              <w:ind w:firstLine="0" w:firstLineChars="0"/>
              <w:jc w:val="center"/>
              <w:rPr>
                <w:szCs w:val="24"/>
              </w:rPr>
            </w:pPr>
            <w:r>
              <w:rPr>
                <w:szCs w:val="24"/>
              </w:rPr>
              <w:t>队员1</w:t>
            </w:r>
          </w:p>
        </w:tc>
        <w:tc>
          <w:tcPr>
            <w:tcW w:w="1545" w:type="dxa"/>
            <w:vAlign w:val="center"/>
          </w:tcPr>
          <w:p w14:paraId="140C036E">
            <w:pPr>
              <w:spacing w:line="312" w:lineRule="auto"/>
              <w:ind w:firstLine="0" w:firstLineChars="0"/>
              <w:jc w:val="center"/>
              <w:rPr>
                <w:szCs w:val="24"/>
              </w:rPr>
            </w:pPr>
          </w:p>
        </w:tc>
        <w:tc>
          <w:tcPr>
            <w:tcW w:w="1044" w:type="dxa"/>
            <w:vAlign w:val="center"/>
          </w:tcPr>
          <w:p w14:paraId="2072EC0B">
            <w:pPr>
              <w:spacing w:line="312" w:lineRule="auto"/>
              <w:ind w:firstLine="0" w:firstLineChars="0"/>
              <w:jc w:val="center"/>
              <w:rPr>
                <w:szCs w:val="24"/>
              </w:rPr>
            </w:pPr>
          </w:p>
        </w:tc>
        <w:tc>
          <w:tcPr>
            <w:tcW w:w="3114" w:type="dxa"/>
            <w:vAlign w:val="center"/>
          </w:tcPr>
          <w:p w14:paraId="7B91A8FC">
            <w:pPr>
              <w:spacing w:line="312" w:lineRule="auto"/>
              <w:ind w:firstLine="0" w:firstLineChars="0"/>
              <w:jc w:val="center"/>
              <w:rPr>
                <w:szCs w:val="24"/>
              </w:rPr>
            </w:pPr>
          </w:p>
        </w:tc>
        <w:tc>
          <w:tcPr>
            <w:tcW w:w="2607" w:type="dxa"/>
            <w:vAlign w:val="center"/>
          </w:tcPr>
          <w:p w14:paraId="793403E3">
            <w:pPr>
              <w:spacing w:line="312" w:lineRule="auto"/>
              <w:ind w:firstLine="0" w:firstLineChars="0"/>
              <w:jc w:val="center"/>
              <w:rPr>
                <w:szCs w:val="24"/>
              </w:rPr>
            </w:pPr>
          </w:p>
        </w:tc>
        <w:tc>
          <w:tcPr>
            <w:tcW w:w="2608" w:type="dxa"/>
            <w:vAlign w:val="center"/>
          </w:tcPr>
          <w:p w14:paraId="002952BF">
            <w:pPr>
              <w:spacing w:line="312" w:lineRule="auto"/>
              <w:ind w:firstLine="0" w:firstLineChars="0"/>
              <w:jc w:val="center"/>
              <w:rPr>
                <w:szCs w:val="24"/>
              </w:rPr>
            </w:pPr>
          </w:p>
        </w:tc>
      </w:tr>
      <w:tr w14:paraId="6AD2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Merge w:val="continue"/>
            <w:vAlign w:val="center"/>
          </w:tcPr>
          <w:p w14:paraId="57F697D9">
            <w:pPr>
              <w:spacing w:line="312" w:lineRule="auto"/>
              <w:ind w:firstLine="0" w:firstLineChars="0"/>
              <w:jc w:val="center"/>
              <w:rPr>
                <w:szCs w:val="24"/>
              </w:rPr>
            </w:pPr>
          </w:p>
        </w:tc>
        <w:tc>
          <w:tcPr>
            <w:tcW w:w="1561" w:type="dxa"/>
            <w:vAlign w:val="center"/>
          </w:tcPr>
          <w:p w14:paraId="710AE075">
            <w:pPr>
              <w:spacing w:line="312" w:lineRule="auto"/>
              <w:ind w:firstLine="0" w:firstLineChars="0"/>
              <w:jc w:val="center"/>
              <w:rPr>
                <w:szCs w:val="24"/>
              </w:rPr>
            </w:pPr>
            <w:r>
              <w:rPr>
                <w:szCs w:val="24"/>
              </w:rPr>
              <w:t>队员2</w:t>
            </w:r>
          </w:p>
        </w:tc>
        <w:tc>
          <w:tcPr>
            <w:tcW w:w="1545" w:type="dxa"/>
            <w:vAlign w:val="center"/>
          </w:tcPr>
          <w:p w14:paraId="62CEC1F4">
            <w:pPr>
              <w:spacing w:line="312" w:lineRule="auto"/>
              <w:ind w:firstLine="0" w:firstLineChars="0"/>
              <w:jc w:val="center"/>
              <w:rPr>
                <w:szCs w:val="24"/>
              </w:rPr>
            </w:pPr>
          </w:p>
        </w:tc>
        <w:tc>
          <w:tcPr>
            <w:tcW w:w="1044" w:type="dxa"/>
            <w:vAlign w:val="center"/>
          </w:tcPr>
          <w:p w14:paraId="64A18E4D">
            <w:pPr>
              <w:spacing w:line="312" w:lineRule="auto"/>
              <w:ind w:firstLine="0" w:firstLineChars="0"/>
              <w:jc w:val="center"/>
              <w:rPr>
                <w:szCs w:val="24"/>
              </w:rPr>
            </w:pPr>
          </w:p>
        </w:tc>
        <w:tc>
          <w:tcPr>
            <w:tcW w:w="3114" w:type="dxa"/>
            <w:vAlign w:val="center"/>
          </w:tcPr>
          <w:p w14:paraId="6286CD72">
            <w:pPr>
              <w:spacing w:line="312" w:lineRule="auto"/>
              <w:ind w:firstLine="0" w:firstLineChars="0"/>
              <w:jc w:val="center"/>
              <w:rPr>
                <w:szCs w:val="24"/>
              </w:rPr>
            </w:pPr>
          </w:p>
        </w:tc>
        <w:tc>
          <w:tcPr>
            <w:tcW w:w="2607" w:type="dxa"/>
            <w:vAlign w:val="center"/>
          </w:tcPr>
          <w:p w14:paraId="7E03F115">
            <w:pPr>
              <w:spacing w:line="312" w:lineRule="auto"/>
              <w:ind w:firstLine="0" w:firstLineChars="0"/>
              <w:jc w:val="center"/>
              <w:rPr>
                <w:szCs w:val="24"/>
              </w:rPr>
            </w:pPr>
          </w:p>
        </w:tc>
        <w:tc>
          <w:tcPr>
            <w:tcW w:w="2608" w:type="dxa"/>
            <w:vAlign w:val="center"/>
          </w:tcPr>
          <w:p w14:paraId="722C8927">
            <w:pPr>
              <w:spacing w:line="312" w:lineRule="auto"/>
              <w:ind w:firstLine="0" w:firstLineChars="0"/>
              <w:jc w:val="center"/>
              <w:rPr>
                <w:szCs w:val="24"/>
              </w:rPr>
            </w:pPr>
          </w:p>
        </w:tc>
      </w:tr>
    </w:tbl>
    <w:p w14:paraId="6ACFAE6A">
      <w:pPr>
        <w:widowControl/>
        <w:ind w:firstLine="0" w:firstLineChars="0"/>
        <w:jc w:val="right"/>
        <w:rPr>
          <w:kern w:val="0"/>
          <w:sz w:val="23"/>
          <w:szCs w:val="23"/>
          <w:lang w:bidi="ar"/>
        </w:rPr>
      </w:pPr>
    </w:p>
    <w:p w14:paraId="5DB6A8EC">
      <w:pPr>
        <w:widowControl/>
        <w:ind w:firstLine="0" w:firstLineChars="0"/>
        <w:jc w:val="center"/>
        <w:rPr>
          <w:kern w:val="0"/>
          <w:sz w:val="23"/>
          <w:szCs w:val="23"/>
          <w:lang w:bidi="ar"/>
        </w:rPr>
      </w:pPr>
      <w:r>
        <w:rPr>
          <w:kern w:val="0"/>
          <w:sz w:val="23"/>
          <w:szCs w:val="23"/>
          <w:lang w:bidi="ar"/>
        </w:rPr>
        <w:t xml:space="preserve">                                                               院系（负责人签字、公章）：         </w:t>
      </w:r>
    </w:p>
    <w:p w14:paraId="1DA15644">
      <w:pPr>
        <w:widowControl/>
        <w:ind w:firstLine="0" w:firstLineChars="0"/>
        <w:jc w:val="center"/>
        <w:rPr>
          <w:kern w:val="0"/>
          <w:sz w:val="23"/>
          <w:szCs w:val="23"/>
          <w:lang w:bidi="ar"/>
        </w:rPr>
      </w:pPr>
    </w:p>
    <w:p w14:paraId="2810623C">
      <w:pPr>
        <w:widowControl/>
        <w:ind w:firstLine="0" w:firstLineChars="0"/>
        <w:jc w:val="center"/>
      </w:pPr>
    </w:p>
    <w:p w14:paraId="0C388750">
      <w:pPr>
        <w:widowControl/>
        <w:ind w:firstLine="460"/>
        <w:jc w:val="right"/>
      </w:pPr>
      <w:r>
        <w:rPr>
          <w:kern w:val="0"/>
          <w:sz w:val="23"/>
          <w:szCs w:val="23"/>
          <w:lang w:bidi="ar"/>
        </w:rPr>
        <w:t>年</w:t>
      </w:r>
      <w:r>
        <w:rPr>
          <w:rFonts w:eastAsia="黑体"/>
          <w:kern w:val="0"/>
          <w:sz w:val="23"/>
          <w:szCs w:val="23"/>
          <w:lang w:bidi="ar"/>
        </w:rPr>
        <w:t xml:space="preserve">       </w:t>
      </w:r>
      <w:r>
        <w:rPr>
          <w:kern w:val="0"/>
          <w:sz w:val="23"/>
          <w:szCs w:val="23"/>
          <w:lang w:bidi="ar"/>
        </w:rPr>
        <w:t>月</w:t>
      </w:r>
      <w:r>
        <w:rPr>
          <w:rFonts w:eastAsia="黑体"/>
          <w:kern w:val="0"/>
          <w:sz w:val="23"/>
          <w:szCs w:val="23"/>
          <w:lang w:bidi="ar"/>
        </w:rPr>
        <w:t xml:space="preserve">      </w:t>
      </w:r>
      <w:r>
        <w:rPr>
          <w:kern w:val="0"/>
          <w:sz w:val="23"/>
          <w:szCs w:val="23"/>
          <w:lang w:bidi="ar"/>
        </w:rPr>
        <w:t>日</w:t>
      </w:r>
    </w:p>
    <w:p w14:paraId="52BD48B3">
      <w:pPr>
        <w:widowControl/>
        <w:ind w:firstLine="0" w:firstLineChars="0"/>
        <w:jc w:val="left"/>
        <w:rPr>
          <w:kern w:val="0"/>
          <w:sz w:val="21"/>
          <w:szCs w:val="21"/>
          <w:lang w:bidi="ar"/>
        </w:rPr>
      </w:pPr>
    </w:p>
    <w:p w14:paraId="0C0FD4A6">
      <w:pPr>
        <w:widowControl/>
        <w:ind w:firstLine="420"/>
        <w:jc w:val="left"/>
      </w:pPr>
      <w:r>
        <w:rPr>
          <w:kern w:val="0"/>
          <w:sz w:val="21"/>
          <w:szCs w:val="21"/>
          <w:lang w:bidi="ar"/>
        </w:rPr>
        <w:t>注：①每校限报2个参赛代表队，每队包括1名队长、队员1~2人以及指导教师1~2人，同一学生只能参加1支队伍。</w:t>
      </w:r>
    </w:p>
    <w:p w14:paraId="0987326A">
      <w:pPr>
        <w:widowControl/>
        <w:ind w:firstLine="840" w:firstLineChars="400"/>
        <w:jc w:val="left"/>
      </w:pPr>
      <w:r>
        <w:rPr>
          <w:kern w:val="0"/>
          <w:sz w:val="21"/>
          <w:szCs w:val="21"/>
          <w:lang w:bidi="ar"/>
        </w:rPr>
        <w:t>②各高校务必于2026年9月15日之前将该报名表彩色扫描件发至指定邮箱</w:t>
      </w:r>
      <w:r>
        <w:rPr>
          <w:rFonts w:hint="eastAsia"/>
          <w:kern w:val="0"/>
          <w:sz w:val="21"/>
          <w:szCs w:val="21"/>
          <w:lang w:val="en-US" w:eastAsia="zh-CN" w:bidi="ar"/>
        </w:rPr>
        <w:t>20251044@zzut.edu.cn</w:t>
      </w:r>
      <w:r>
        <w:rPr>
          <w:kern w:val="0"/>
          <w:sz w:val="21"/>
          <w:szCs w:val="21"/>
          <w:lang w:bidi="ar"/>
        </w:rPr>
        <w:t>，原件于正式比赛报到时交给承办方。</w:t>
      </w:r>
    </w:p>
    <w:p w14:paraId="454235B3">
      <w:pPr>
        <w:widowControl/>
        <w:ind w:firstLine="0" w:firstLineChars="0"/>
        <w:jc w:val="left"/>
      </w:pPr>
    </w:p>
    <w:sectPr>
      <w:pgSz w:w="16838" w:h="11906" w:orient="landscape"/>
      <w:pgMar w:top="1417" w:right="1417" w:bottom="1134"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NewRomanPSMT">
    <w:altName w:val="Times New Roman"/>
    <w:panose1 w:val="00000000000000000000"/>
    <w:charset w:val="00"/>
    <w:family w:val="auto"/>
    <w:pitch w:val="default"/>
    <w:sig w:usb0="00000000" w:usb1="00000000" w:usb2="00000000" w:usb3="00000000" w:csb0="00040001" w:csb1="00000000"/>
  </w:font>
  <w:font w:name="SymbolMT">
    <w:altName w:val="Times New Roman"/>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方正仿宋_GB2312">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C0762">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0BD23">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B6B61">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934DD">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CCD0C">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03D94">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893C41"/>
    <w:multiLevelType w:val="singleLevel"/>
    <w:tmpl w:val="BA893C41"/>
    <w:lvl w:ilvl="0" w:tentative="0">
      <w:start w:val="2"/>
      <w:numFmt w:val="decimal"/>
      <w:suff w:val="nothing"/>
      <w:lvlText w:val="（%1）"/>
      <w:lvlJc w:val="left"/>
    </w:lvl>
  </w:abstractNum>
  <w:abstractNum w:abstractNumId="1">
    <w:nsid w:val="FB5F5F5B"/>
    <w:multiLevelType w:val="singleLevel"/>
    <w:tmpl w:val="FB5F5F5B"/>
    <w:lvl w:ilvl="0" w:tentative="0">
      <w:start w:val="4"/>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QyMGEzZWE5MWE0YTRlYzdjNTYxMTAzNTYxOWYxNzcifQ=="/>
  </w:docVars>
  <w:rsids>
    <w:rsidRoot w:val="74094CB4"/>
    <w:rsid w:val="00005796"/>
    <w:rsid w:val="000269A0"/>
    <w:rsid w:val="00037682"/>
    <w:rsid w:val="00066528"/>
    <w:rsid w:val="000A68D3"/>
    <w:rsid w:val="000C6ED9"/>
    <w:rsid w:val="000D62F2"/>
    <w:rsid w:val="000E2CB1"/>
    <w:rsid w:val="000E7C20"/>
    <w:rsid w:val="000F2753"/>
    <w:rsid w:val="000F4A8B"/>
    <w:rsid w:val="000F4ACA"/>
    <w:rsid w:val="00102A62"/>
    <w:rsid w:val="001108C0"/>
    <w:rsid w:val="00111760"/>
    <w:rsid w:val="00124D2F"/>
    <w:rsid w:val="00131D03"/>
    <w:rsid w:val="00155E8B"/>
    <w:rsid w:val="00173D09"/>
    <w:rsid w:val="001926AF"/>
    <w:rsid w:val="001B4966"/>
    <w:rsid w:val="001C09D9"/>
    <w:rsid w:val="001C1AD1"/>
    <w:rsid w:val="001D4264"/>
    <w:rsid w:val="001F0FE6"/>
    <w:rsid w:val="00231302"/>
    <w:rsid w:val="00234967"/>
    <w:rsid w:val="002433EF"/>
    <w:rsid w:val="00252313"/>
    <w:rsid w:val="00272DFF"/>
    <w:rsid w:val="002816A4"/>
    <w:rsid w:val="002A128E"/>
    <w:rsid w:val="002A547E"/>
    <w:rsid w:val="002E1C6D"/>
    <w:rsid w:val="002E419D"/>
    <w:rsid w:val="002E50C0"/>
    <w:rsid w:val="002F382B"/>
    <w:rsid w:val="002F622C"/>
    <w:rsid w:val="00333A2A"/>
    <w:rsid w:val="003366F6"/>
    <w:rsid w:val="00350389"/>
    <w:rsid w:val="00366ACF"/>
    <w:rsid w:val="003834FA"/>
    <w:rsid w:val="00384B9C"/>
    <w:rsid w:val="003A5CAA"/>
    <w:rsid w:val="003C497C"/>
    <w:rsid w:val="003C4BF1"/>
    <w:rsid w:val="003C6B55"/>
    <w:rsid w:val="003D70A0"/>
    <w:rsid w:val="003E07F8"/>
    <w:rsid w:val="00413F0B"/>
    <w:rsid w:val="00426BD2"/>
    <w:rsid w:val="00435B3B"/>
    <w:rsid w:val="00441C7E"/>
    <w:rsid w:val="004446DE"/>
    <w:rsid w:val="00452BA1"/>
    <w:rsid w:val="00475BF0"/>
    <w:rsid w:val="0047766B"/>
    <w:rsid w:val="004A4DA8"/>
    <w:rsid w:val="004B09A0"/>
    <w:rsid w:val="004B43DA"/>
    <w:rsid w:val="004C548B"/>
    <w:rsid w:val="004D2B3E"/>
    <w:rsid w:val="004E0F70"/>
    <w:rsid w:val="004F4B51"/>
    <w:rsid w:val="00501608"/>
    <w:rsid w:val="00512915"/>
    <w:rsid w:val="00532CF3"/>
    <w:rsid w:val="00537D77"/>
    <w:rsid w:val="0054414B"/>
    <w:rsid w:val="00555D06"/>
    <w:rsid w:val="0056315D"/>
    <w:rsid w:val="00570972"/>
    <w:rsid w:val="00591149"/>
    <w:rsid w:val="005D298F"/>
    <w:rsid w:val="00613F19"/>
    <w:rsid w:val="00614F32"/>
    <w:rsid w:val="00622AE1"/>
    <w:rsid w:val="00643105"/>
    <w:rsid w:val="006465FC"/>
    <w:rsid w:val="006505D8"/>
    <w:rsid w:val="006632CF"/>
    <w:rsid w:val="00697F5D"/>
    <w:rsid w:val="006B0C0A"/>
    <w:rsid w:val="006B3BDE"/>
    <w:rsid w:val="006E3177"/>
    <w:rsid w:val="006F6DD8"/>
    <w:rsid w:val="006F7351"/>
    <w:rsid w:val="00715E7F"/>
    <w:rsid w:val="007212E4"/>
    <w:rsid w:val="00727FD1"/>
    <w:rsid w:val="007409F5"/>
    <w:rsid w:val="00750152"/>
    <w:rsid w:val="00757C6D"/>
    <w:rsid w:val="00773DE6"/>
    <w:rsid w:val="00793905"/>
    <w:rsid w:val="007A35BE"/>
    <w:rsid w:val="007B32EE"/>
    <w:rsid w:val="007C0598"/>
    <w:rsid w:val="007D6BC4"/>
    <w:rsid w:val="007E312F"/>
    <w:rsid w:val="007E5BE0"/>
    <w:rsid w:val="007F331B"/>
    <w:rsid w:val="0080461B"/>
    <w:rsid w:val="00804C8B"/>
    <w:rsid w:val="00811A6F"/>
    <w:rsid w:val="00812711"/>
    <w:rsid w:val="00820850"/>
    <w:rsid w:val="00821E76"/>
    <w:rsid w:val="008312D5"/>
    <w:rsid w:val="00835920"/>
    <w:rsid w:val="00845304"/>
    <w:rsid w:val="0085335D"/>
    <w:rsid w:val="00861B7F"/>
    <w:rsid w:val="00865674"/>
    <w:rsid w:val="008707EE"/>
    <w:rsid w:val="00877A28"/>
    <w:rsid w:val="00892DD9"/>
    <w:rsid w:val="00893F9E"/>
    <w:rsid w:val="00894FB4"/>
    <w:rsid w:val="00896BFB"/>
    <w:rsid w:val="008C6C69"/>
    <w:rsid w:val="008D49F9"/>
    <w:rsid w:val="008D4E87"/>
    <w:rsid w:val="008E45A9"/>
    <w:rsid w:val="008E77BD"/>
    <w:rsid w:val="008F184B"/>
    <w:rsid w:val="009106DE"/>
    <w:rsid w:val="00916D2B"/>
    <w:rsid w:val="00926705"/>
    <w:rsid w:val="0093720F"/>
    <w:rsid w:val="00946665"/>
    <w:rsid w:val="00983C8B"/>
    <w:rsid w:val="00984443"/>
    <w:rsid w:val="009856A1"/>
    <w:rsid w:val="009E270B"/>
    <w:rsid w:val="009F0F84"/>
    <w:rsid w:val="009F1A5F"/>
    <w:rsid w:val="009F5CC7"/>
    <w:rsid w:val="00A32899"/>
    <w:rsid w:val="00A55F60"/>
    <w:rsid w:val="00A91D76"/>
    <w:rsid w:val="00A931C5"/>
    <w:rsid w:val="00AA3FA6"/>
    <w:rsid w:val="00AA6900"/>
    <w:rsid w:val="00AB09A0"/>
    <w:rsid w:val="00AB69EA"/>
    <w:rsid w:val="00AC1364"/>
    <w:rsid w:val="00AD4309"/>
    <w:rsid w:val="00B0637C"/>
    <w:rsid w:val="00B11078"/>
    <w:rsid w:val="00B2490A"/>
    <w:rsid w:val="00B2546C"/>
    <w:rsid w:val="00B51426"/>
    <w:rsid w:val="00B57E92"/>
    <w:rsid w:val="00B65716"/>
    <w:rsid w:val="00B717DD"/>
    <w:rsid w:val="00B74A33"/>
    <w:rsid w:val="00B84699"/>
    <w:rsid w:val="00B95CDD"/>
    <w:rsid w:val="00BB34A0"/>
    <w:rsid w:val="00BC59B7"/>
    <w:rsid w:val="00BE0F55"/>
    <w:rsid w:val="00BF379B"/>
    <w:rsid w:val="00BF4A7F"/>
    <w:rsid w:val="00C04355"/>
    <w:rsid w:val="00C05356"/>
    <w:rsid w:val="00C0624A"/>
    <w:rsid w:val="00C113FB"/>
    <w:rsid w:val="00C26355"/>
    <w:rsid w:val="00C72FD7"/>
    <w:rsid w:val="00C8300D"/>
    <w:rsid w:val="00C852B4"/>
    <w:rsid w:val="00C90575"/>
    <w:rsid w:val="00CA3A22"/>
    <w:rsid w:val="00CA4CAA"/>
    <w:rsid w:val="00CD0096"/>
    <w:rsid w:val="00CD1227"/>
    <w:rsid w:val="00CD164C"/>
    <w:rsid w:val="00CE68F6"/>
    <w:rsid w:val="00D024E1"/>
    <w:rsid w:val="00D1798A"/>
    <w:rsid w:val="00D30D04"/>
    <w:rsid w:val="00D4028A"/>
    <w:rsid w:val="00D640C7"/>
    <w:rsid w:val="00D758D4"/>
    <w:rsid w:val="00D8572D"/>
    <w:rsid w:val="00D858F1"/>
    <w:rsid w:val="00D912C6"/>
    <w:rsid w:val="00D931C7"/>
    <w:rsid w:val="00DA1B72"/>
    <w:rsid w:val="00DA4BAA"/>
    <w:rsid w:val="00DA4E45"/>
    <w:rsid w:val="00DB2B84"/>
    <w:rsid w:val="00DC6172"/>
    <w:rsid w:val="00DD284C"/>
    <w:rsid w:val="00E144AD"/>
    <w:rsid w:val="00E151C3"/>
    <w:rsid w:val="00E3312D"/>
    <w:rsid w:val="00E52E72"/>
    <w:rsid w:val="00E64F0C"/>
    <w:rsid w:val="00E84E0C"/>
    <w:rsid w:val="00E8677D"/>
    <w:rsid w:val="00EB00A9"/>
    <w:rsid w:val="00F20CF6"/>
    <w:rsid w:val="00F21B38"/>
    <w:rsid w:val="00F250C3"/>
    <w:rsid w:val="00F40615"/>
    <w:rsid w:val="00F55DA0"/>
    <w:rsid w:val="00F60AB8"/>
    <w:rsid w:val="00F85D81"/>
    <w:rsid w:val="00F8742B"/>
    <w:rsid w:val="00F93448"/>
    <w:rsid w:val="00FC081F"/>
    <w:rsid w:val="00FC703F"/>
    <w:rsid w:val="00FD29F5"/>
    <w:rsid w:val="00FF6029"/>
    <w:rsid w:val="01803FF7"/>
    <w:rsid w:val="01C14D7B"/>
    <w:rsid w:val="01F061FB"/>
    <w:rsid w:val="01FF4BF8"/>
    <w:rsid w:val="020411DA"/>
    <w:rsid w:val="020A2568"/>
    <w:rsid w:val="02315D47"/>
    <w:rsid w:val="024E0ADE"/>
    <w:rsid w:val="024E7D3B"/>
    <w:rsid w:val="027125E7"/>
    <w:rsid w:val="02A03C7D"/>
    <w:rsid w:val="02BC641D"/>
    <w:rsid w:val="03017680"/>
    <w:rsid w:val="032A189A"/>
    <w:rsid w:val="03351867"/>
    <w:rsid w:val="033D25BA"/>
    <w:rsid w:val="03402F18"/>
    <w:rsid w:val="03715359"/>
    <w:rsid w:val="037E5587"/>
    <w:rsid w:val="03870314"/>
    <w:rsid w:val="042D5ACB"/>
    <w:rsid w:val="04581CB1"/>
    <w:rsid w:val="049706ED"/>
    <w:rsid w:val="049B2A91"/>
    <w:rsid w:val="04AF2195"/>
    <w:rsid w:val="04B80AA3"/>
    <w:rsid w:val="04BD38C2"/>
    <w:rsid w:val="04D76C81"/>
    <w:rsid w:val="04E23606"/>
    <w:rsid w:val="04F96FF0"/>
    <w:rsid w:val="05A827C4"/>
    <w:rsid w:val="05AE0E97"/>
    <w:rsid w:val="05B60A3D"/>
    <w:rsid w:val="05CA273A"/>
    <w:rsid w:val="064E3853"/>
    <w:rsid w:val="065546FA"/>
    <w:rsid w:val="067D36C4"/>
    <w:rsid w:val="06983C51"/>
    <w:rsid w:val="069B5E85"/>
    <w:rsid w:val="069F7723"/>
    <w:rsid w:val="06C46DED"/>
    <w:rsid w:val="06CC4290"/>
    <w:rsid w:val="06D22892"/>
    <w:rsid w:val="071A3E14"/>
    <w:rsid w:val="07350087"/>
    <w:rsid w:val="073C31C4"/>
    <w:rsid w:val="074B1160"/>
    <w:rsid w:val="0766561F"/>
    <w:rsid w:val="078C4E56"/>
    <w:rsid w:val="07926EFD"/>
    <w:rsid w:val="07FF7612"/>
    <w:rsid w:val="080812F8"/>
    <w:rsid w:val="08430582"/>
    <w:rsid w:val="085D7896"/>
    <w:rsid w:val="08665714"/>
    <w:rsid w:val="08732C15"/>
    <w:rsid w:val="087F6BF6"/>
    <w:rsid w:val="089354A1"/>
    <w:rsid w:val="08AA0601"/>
    <w:rsid w:val="08B33959"/>
    <w:rsid w:val="08C2103A"/>
    <w:rsid w:val="08CA0E52"/>
    <w:rsid w:val="08DC4C5E"/>
    <w:rsid w:val="08E458C1"/>
    <w:rsid w:val="08F655F4"/>
    <w:rsid w:val="09021F39"/>
    <w:rsid w:val="09694018"/>
    <w:rsid w:val="09F47D86"/>
    <w:rsid w:val="0A0F3AD8"/>
    <w:rsid w:val="0A404929"/>
    <w:rsid w:val="0A7B5B14"/>
    <w:rsid w:val="0A8613AF"/>
    <w:rsid w:val="0A9926DB"/>
    <w:rsid w:val="0AA20121"/>
    <w:rsid w:val="0ABD286D"/>
    <w:rsid w:val="0AE53B72"/>
    <w:rsid w:val="0AFC119D"/>
    <w:rsid w:val="0B5867B8"/>
    <w:rsid w:val="0B705B32"/>
    <w:rsid w:val="0BBA0B5B"/>
    <w:rsid w:val="0BDF6813"/>
    <w:rsid w:val="0BE81B6C"/>
    <w:rsid w:val="0C3A5C6D"/>
    <w:rsid w:val="0C4366F5"/>
    <w:rsid w:val="0C6D12E0"/>
    <w:rsid w:val="0C8A16A9"/>
    <w:rsid w:val="0C99323D"/>
    <w:rsid w:val="0CD914B5"/>
    <w:rsid w:val="0D136775"/>
    <w:rsid w:val="0D153A57"/>
    <w:rsid w:val="0D530AFD"/>
    <w:rsid w:val="0D657D33"/>
    <w:rsid w:val="0D914DE5"/>
    <w:rsid w:val="0D916539"/>
    <w:rsid w:val="0D9C49BC"/>
    <w:rsid w:val="0DD12B0D"/>
    <w:rsid w:val="0E2C2B37"/>
    <w:rsid w:val="0E5B6625"/>
    <w:rsid w:val="0EA55AF2"/>
    <w:rsid w:val="0ED52D80"/>
    <w:rsid w:val="0EE24651"/>
    <w:rsid w:val="0F0004DD"/>
    <w:rsid w:val="0F64775C"/>
    <w:rsid w:val="0F6A2898"/>
    <w:rsid w:val="0FAE5165"/>
    <w:rsid w:val="0FF90E53"/>
    <w:rsid w:val="10150A56"/>
    <w:rsid w:val="102D2243"/>
    <w:rsid w:val="10411774"/>
    <w:rsid w:val="104533CD"/>
    <w:rsid w:val="10504375"/>
    <w:rsid w:val="10584237"/>
    <w:rsid w:val="107F2A10"/>
    <w:rsid w:val="109B71AD"/>
    <w:rsid w:val="10A06571"/>
    <w:rsid w:val="11472E91"/>
    <w:rsid w:val="116E6670"/>
    <w:rsid w:val="119F4A7B"/>
    <w:rsid w:val="11AE07AF"/>
    <w:rsid w:val="1209283C"/>
    <w:rsid w:val="12177598"/>
    <w:rsid w:val="12527D3F"/>
    <w:rsid w:val="1272218F"/>
    <w:rsid w:val="128C7F51"/>
    <w:rsid w:val="128D2264"/>
    <w:rsid w:val="12A81FDF"/>
    <w:rsid w:val="12B24C82"/>
    <w:rsid w:val="12D7663C"/>
    <w:rsid w:val="12E05183"/>
    <w:rsid w:val="12F26E2C"/>
    <w:rsid w:val="13171183"/>
    <w:rsid w:val="13695352"/>
    <w:rsid w:val="13824654"/>
    <w:rsid w:val="1384198A"/>
    <w:rsid w:val="13BA2040"/>
    <w:rsid w:val="13D604FC"/>
    <w:rsid w:val="13DB5685"/>
    <w:rsid w:val="13E26254"/>
    <w:rsid w:val="13FA3D7A"/>
    <w:rsid w:val="14011A1D"/>
    <w:rsid w:val="141166AC"/>
    <w:rsid w:val="14227AF6"/>
    <w:rsid w:val="143F42F3"/>
    <w:rsid w:val="144E2788"/>
    <w:rsid w:val="148058BF"/>
    <w:rsid w:val="1494463F"/>
    <w:rsid w:val="14C26FEA"/>
    <w:rsid w:val="14DE5FC6"/>
    <w:rsid w:val="150856F1"/>
    <w:rsid w:val="15085F51"/>
    <w:rsid w:val="153455CA"/>
    <w:rsid w:val="15E74187"/>
    <w:rsid w:val="15E92769"/>
    <w:rsid w:val="16215087"/>
    <w:rsid w:val="163B5CA6"/>
    <w:rsid w:val="16462BE0"/>
    <w:rsid w:val="1663514B"/>
    <w:rsid w:val="169D3553"/>
    <w:rsid w:val="16B80517"/>
    <w:rsid w:val="16C259D6"/>
    <w:rsid w:val="16D06420"/>
    <w:rsid w:val="16F27400"/>
    <w:rsid w:val="170976A5"/>
    <w:rsid w:val="17310542"/>
    <w:rsid w:val="1732653C"/>
    <w:rsid w:val="173F7277"/>
    <w:rsid w:val="174B2FAF"/>
    <w:rsid w:val="174D31CB"/>
    <w:rsid w:val="174E4C15"/>
    <w:rsid w:val="177B7ECD"/>
    <w:rsid w:val="17822E75"/>
    <w:rsid w:val="178C784F"/>
    <w:rsid w:val="178D5376"/>
    <w:rsid w:val="18057602"/>
    <w:rsid w:val="182E6B59"/>
    <w:rsid w:val="1840688C"/>
    <w:rsid w:val="188449CB"/>
    <w:rsid w:val="18925339"/>
    <w:rsid w:val="18995B9F"/>
    <w:rsid w:val="18A1707D"/>
    <w:rsid w:val="1908336C"/>
    <w:rsid w:val="193803F7"/>
    <w:rsid w:val="19597C05"/>
    <w:rsid w:val="196F567B"/>
    <w:rsid w:val="19732C07"/>
    <w:rsid w:val="19A075E2"/>
    <w:rsid w:val="19B337B9"/>
    <w:rsid w:val="19CA601A"/>
    <w:rsid w:val="19F25A4D"/>
    <w:rsid w:val="1A444411"/>
    <w:rsid w:val="1A5D3725"/>
    <w:rsid w:val="1A677A79"/>
    <w:rsid w:val="1A8F1969"/>
    <w:rsid w:val="1A9D6217"/>
    <w:rsid w:val="1AC47300"/>
    <w:rsid w:val="1AEFD4D0"/>
    <w:rsid w:val="1AFF658A"/>
    <w:rsid w:val="1B132036"/>
    <w:rsid w:val="1B742AD4"/>
    <w:rsid w:val="1B903686"/>
    <w:rsid w:val="1BC75EFD"/>
    <w:rsid w:val="1BDE43F2"/>
    <w:rsid w:val="1BF45396"/>
    <w:rsid w:val="1BF70E86"/>
    <w:rsid w:val="1BFF7EA4"/>
    <w:rsid w:val="1C024584"/>
    <w:rsid w:val="1C0D5907"/>
    <w:rsid w:val="1C0F0A4F"/>
    <w:rsid w:val="1C177904"/>
    <w:rsid w:val="1C2C7853"/>
    <w:rsid w:val="1C374B1F"/>
    <w:rsid w:val="1C4E5A1B"/>
    <w:rsid w:val="1C9D7520"/>
    <w:rsid w:val="1CC01D49"/>
    <w:rsid w:val="1CF66B6B"/>
    <w:rsid w:val="1D0B1216"/>
    <w:rsid w:val="1D1F2F14"/>
    <w:rsid w:val="1D2247B2"/>
    <w:rsid w:val="1D385D84"/>
    <w:rsid w:val="1D506B65"/>
    <w:rsid w:val="1D924540"/>
    <w:rsid w:val="1DDE6E3A"/>
    <w:rsid w:val="1E087E4C"/>
    <w:rsid w:val="1E1C7453"/>
    <w:rsid w:val="1E7E2438"/>
    <w:rsid w:val="1E82310A"/>
    <w:rsid w:val="1E8F40C9"/>
    <w:rsid w:val="1EC17A44"/>
    <w:rsid w:val="1EC27CA1"/>
    <w:rsid w:val="1EDB0C7D"/>
    <w:rsid w:val="1EF7404A"/>
    <w:rsid w:val="1F44144C"/>
    <w:rsid w:val="1F615915"/>
    <w:rsid w:val="1FC61CE9"/>
    <w:rsid w:val="1FCB72E5"/>
    <w:rsid w:val="1FCF29CF"/>
    <w:rsid w:val="2007660D"/>
    <w:rsid w:val="200F33B5"/>
    <w:rsid w:val="202C422E"/>
    <w:rsid w:val="20825ACA"/>
    <w:rsid w:val="20FD17BE"/>
    <w:rsid w:val="2130749E"/>
    <w:rsid w:val="21555156"/>
    <w:rsid w:val="215A485A"/>
    <w:rsid w:val="216F2737"/>
    <w:rsid w:val="21AB2FC8"/>
    <w:rsid w:val="21B2221A"/>
    <w:rsid w:val="21F55E27"/>
    <w:rsid w:val="220E6EDC"/>
    <w:rsid w:val="2217240B"/>
    <w:rsid w:val="22873A35"/>
    <w:rsid w:val="22B20386"/>
    <w:rsid w:val="22D14CB0"/>
    <w:rsid w:val="22D52502"/>
    <w:rsid w:val="235944E2"/>
    <w:rsid w:val="23971A56"/>
    <w:rsid w:val="23A86B40"/>
    <w:rsid w:val="23D42CAA"/>
    <w:rsid w:val="241A48BC"/>
    <w:rsid w:val="2438394C"/>
    <w:rsid w:val="24464AE9"/>
    <w:rsid w:val="247973AD"/>
    <w:rsid w:val="2496284D"/>
    <w:rsid w:val="24C903BC"/>
    <w:rsid w:val="24CA19B7"/>
    <w:rsid w:val="24DD793C"/>
    <w:rsid w:val="24F86524"/>
    <w:rsid w:val="251E202C"/>
    <w:rsid w:val="253B28B5"/>
    <w:rsid w:val="254371F2"/>
    <w:rsid w:val="254E02BB"/>
    <w:rsid w:val="254F255B"/>
    <w:rsid w:val="25647BED"/>
    <w:rsid w:val="258C3110"/>
    <w:rsid w:val="259118B0"/>
    <w:rsid w:val="25BC39F6"/>
    <w:rsid w:val="25C54BB0"/>
    <w:rsid w:val="260676FF"/>
    <w:rsid w:val="263712CE"/>
    <w:rsid w:val="2650413E"/>
    <w:rsid w:val="26543C2E"/>
    <w:rsid w:val="26645926"/>
    <w:rsid w:val="266D6A9E"/>
    <w:rsid w:val="26B07893"/>
    <w:rsid w:val="26F30022"/>
    <w:rsid w:val="26FE64DB"/>
    <w:rsid w:val="27335F39"/>
    <w:rsid w:val="27372571"/>
    <w:rsid w:val="274909DE"/>
    <w:rsid w:val="27566D8E"/>
    <w:rsid w:val="277E0FF5"/>
    <w:rsid w:val="27814EF7"/>
    <w:rsid w:val="279462AC"/>
    <w:rsid w:val="27BC5F2F"/>
    <w:rsid w:val="27D8263D"/>
    <w:rsid w:val="27DF5779"/>
    <w:rsid w:val="285A74F6"/>
    <w:rsid w:val="28722A91"/>
    <w:rsid w:val="287901F8"/>
    <w:rsid w:val="28B9421C"/>
    <w:rsid w:val="29126FEC"/>
    <w:rsid w:val="291F480A"/>
    <w:rsid w:val="29244880"/>
    <w:rsid w:val="293678F5"/>
    <w:rsid w:val="295403E9"/>
    <w:rsid w:val="29583A35"/>
    <w:rsid w:val="2971014B"/>
    <w:rsid w:val="29B6075C"/>
    <w:rsid w:val="29BC6FD7"/>
    <w:rsid w:val="29BF1D06"/>
    <w:rsid w:val="2A132E42"/>
    <w:rsid w:val="2A293624"/>
    <w:rsid w:val="2A2C6C70"/>
    <w:rsid w:val="2A392506"/>
    <w:rsid w:val="2A495A74"/>
    <w:rsid w:val="2A5B0CA5"/>
    <w:rsid w:val="2A725014"/>
    <w:rsid w:val="2A906E91"/>
    <w:rsid w:val="2B107E87"/>
    <w:rsid w:val="2B1630BE"/>
    <w:rsid w:val="2B4324C3"/>
    <w:rsid w:val="2B507F2A"/>
    <w:rsid w:val="2B836D64"/>
    <w:rsid w:val="2BB4516F"/>
    <w:rsid w:val="2BF8505C"/>
    <w:rsid w:val="2C1125C1"/>
    <w:rsid w:val="2C1D2D14"/>
    <w:rsid w:val="2C7566AC"/>
    <w:rsid w:val="2C9805ED"/>
    <w:rsid w:val="2CB43679"/>
    <w:rsid w:val="2CBC077F"/>
    <w:rsid w:val="2CFE48F4"/>
    <w:rsid w:val="2D151C3D"/>
    <w:rsid w:val="2D15568A"/>
    <w:rsid w:val="2D236108"/>
    <w:rsid w:val="2D4F6EFD"/>
    <w:rsid w:val="2D614E83"/>
    <w:rsid w:val="2D937732"/>
    <w:rsid w:val="2DA107C0"/>
    <w:rsid w:val="2EAD65D1"/>
    <w:rsid w:val="2EFF2BA5"/>
    <w:rsid w:val="2FD25965"/>
    <w:rsid w:val="2FD44032"/>
    <w:rsid w:val="2FD8767E"/>
    <w:rsid w:val="30662EDC"/>
    <w:rsid w:val="306B1E1B"/>
    <w:rsid w:val="307BE3B0"/>
    <w:rsid w:val="3089052D"/>
    <w:rsid w:val="308E070A"/>
    <w:rsid w:val="30B023A9"/>
    <w:rsid w:val="30BC6FA0"/>
    <w:rsid w:val="30D320BD"/>
    <w:rsid w:val="312945C7"/>
    <w:rsid w:val="313A6116"/>
    <w:rsid w:val="31441DE5"/>
    <w:rsid w:val="319E0453"/>
    <w:rsid w:val="31A71839"/>
    <w:rsid w:val="31AB1C6D"/>
    <w:rsid w:val="31AD68E8"/>
    <w:rsid w:val="31DB16A7"/>
    <w:rsid w:val="31DE3146"/>
    <w:rsid w:val="31E16592"/>
    <w:rsid w:val="320A6A8B"/>
    <w:rsid w:val="32252923"/>
    <w:rsid w:val="32385B17"/>
    <w:rsid w:val="323A374B"/>
    <w:rsid w:val="323D5EBE"/>
    <w:rsid w:val="32427031"/>
    <w:rsid w:val="326C485E"/>
    <w:rsid w:val="32C66109"/>
    <w:rsid w:val="32CE2FBA"/>
    <w:rsid w:val="32D14858"/>
    <w:rsid w:val="33064502"/>
    <w:rsid w:val="330D3AE3"/>
    <w:rsid w:val="33244988"/>
    <w:rsid w:val="336D632F"/>
    <w:rsid w:val="33BF534B"/>
    <w:rsid w:val="33CE3219"/>
    <w:rsid w:val="33DB54A3"/>
    <w:rsid w:val="33DC1707"/>
    <w:rsid w:val="33E67E90"/>
    <w:rsid w:val="34000986"/>
    <w:rsid w:val="34360E17"/>
    <w:rsid w:val="34680B7D"/>
    <w:rsid w:val="34757B91"/>
    <w:rsid w:val="347AA334"/>
    <w:rsid w:val="347B4A7C"/>
    <w:rsid w:val="3489567C"/>
    <w:rsid w:val="34897284"/>
    <w:rsid w:val="34912275"/>
    <w:rsid w:val="34954C78"/>
    <w:rsid w:val="35472BB0"/>
    <w:rsid w:val="356B4AF0"/>
    <w:rsid w:val="360A255B"/>
    <w:rsid w:val="36154A5C"/>
    <w:rsid w:val="363D6078"/>
    <w:rsid w:val="36880C11"/>
    <w:rsid w:val="36CE4570"/>
    <w:rsid w:val="36F154C9"/>
    <w:rsid w:val="36F17A57"/>
    <w:rsid w:val="36F34D9D"/>
    <w:rsid w:val="36FF1994"/>
    <w:rsid w:val="37166CDE"/>
    <w:rsid w:val="371D5E6B"/>
    <w:rsid w:val="374C0952"/>
    <w:rsid w:val="37557806"/>
    <w:rsid w:val="376C29E3"/>
    <w:rsid w:val="37A442EA"/>
    <w:rsid w:val="37D56523"/>
    <w:rsid w:val="37E2320C"/>
    <w:rsid w:val="37E81C44"/>
    <w:rsid w:val="37E868CC"/>
    <w:rsid w:val="38210DB4"/>
    <w:rsid w:val="382D5936"/>
    <w:rsid w:val="383A69FC"/>
    <w:rsid w:val="38575800"/>
    <w:rsid w:val="38881374"/>
    <w:rsid w:val="38A21BF6"/>
    <w:rsid w:val="38BD38B5"/>
    <w:rsid w:val="39290F4A"/>
    <w:rsid w:val="39407DC9"/>
    <w:rsid w:val="396A1D68"/>
    <w:rsid w:val="396A50BF"/>
    <w:rsid w:val="39B32F0A"/>
    <w:rsid w:val="39DA2245"/>
    <w:rsid w:val="39E82BB3"/>
    <w:rsid w:val="3A0E0282"/>
    <w:rsid w:val="3A401E2F"/>
    <w:rsid w:val="3A68164F"/>
    <w:rsid w:val="3A6C2245"/>
    <w:rsid w:val="3A766411"/>
    <w:rsid w:val="3A8D375B"/>
    <w:rsid w:val="3AC058DE"/>
    <w:rsid w:val="3AC343CF"/>
    <w:rsid w:val="3AC86A32"/>
    <w:rsid w:val="3AD13648"/>
    <w:rsid w:val="3AF47336"/>
    <w:rsid w:val="3B083E7F"/>
    <w:rsid w:val="3B0A6B7B"/>
    <w:rsid w:val="3B171F7A"/>
    <w:rsid w:val="3B451940"/>
    <w:rsid w:val="3BFA0209"/>
    <w:rsid w:val="3C046992"/>
    <w:rsid w:val="3C095BAF"/>
    <w:rsid w:val="3C2355F7"/>
    <w:rsid w:val="3C330923"/>
    <w:rsid w:val="3C5233B4"/>
    <w:rsid w:val="3C7249B6"/>
    <w:rsid w:val="3CB85F93"/>
    <w:rsid w:val="3CD613E9"/>
    <w:rsid w:val="3D0F2205"/>
    <w:rsid w:val="3D645074"/>
    <w:rsid w:val="3DA9265A"/>
    <w:rsid w:val="3DFA2EB5"/>
    <w:rsid w:val="3E1E1B74"/>
    <w:rsid w:val="3E586253"/>
    <w:rsid w:val="3E75078E"/>
    <w:rsid w:val="3EA224D7"/>
    <w:rsid w:val="3ED11114"/>
    <w:rsid w:val="3EED47C8"/>
    <w:rsid w:val="3F226707"/>
    <w:rsid w:val="3F3030ED"/>
    <w:rsid w:val="3F321B7A"/>
    <w:rsid w:val="3F4343E8"/>
    <w:rsid w:val="3F577E93"/>
    <w:rsid w:val="3F9C0A07"/>
    <w:rsid w:val="3FB35A12"/>
    <w:rsid w:val="3FB377C0"/>
    <w:rsid w:val="3FC05C11"/>
    <w:rsid w:val="3FE47979"/>
    <w:rsid w:val="40121E36"/>
    <w:rsid w:val="407D1B7C"/>
    <w:rsid w:val="408D1686"/>
    <w:rsid w:val="409523CF"/>
    <w:rsid w:val="41327F86"/>
    <w:rsid w:val="417A6768"/>
    <w:rsid w:val="41AA69A0"/>
    <w:rsid w:val="41C46492"/>
    <w:rsid w:val="41D8350E"/>
    <w:rsid w:val="42245784"/>
    <w:rsid w:val="424830B5"/>
    <w:rsid w:val="4292190E"/>
    <w:rsid w:val="42B20202"/>
    <w:rsid w:val="42E87780"/>
    <w:rsid w:val="42FB3381"/>
    <w:rsid w:val="430F2CE5"/>
    <w:rsid w:val="434123BC"/>
    <w:rsid w:val="434D1CD9"/>
    <w:rsid w:val="434F69ED"/>
    <w:rsid w:val="438C0A54"/>
    <w:rsid w:val="438D657A"/>
    <w:rsid w:val="43943464"/>
    <w:rsid w:val="43AE7DCC"/>
    <w:rsid w:val="43C85D0E"/>
    <w:rsid w:val="43EC14F2"/>
    <w:rsid w:val="43FB1636"/>
    <w:rsid w:val="440F51E1"/>
    <w:rsid w:val="442347E8"/>
    <w:rsid w:val="445A645C"/>
    <w:rsid w:val="445F7F16"/>
    <w:rsid w:val="446FF6DA"/>
    <w:rsid w:val="45107462"/>
    <w:rsid w:val="453B2B2E"/>
    <w:rsid w:val="455E01CE"/>
    <w:rsid w:val="45965BB9"/>
    <w:rsid w:val="45A57BAB"/>
    <w:rsid w:val="45C67B21"/>
    <w:rsid w:val="45CD6E1B"/>
    <w:rsid w:val="46041FB3"/>
    <w:rsid w:val="460F70C6"/>
    <w:rsid w:val="46407634"/>
    <w:rsid w:val="465B309E"/>
    <w:rsid w:val="465D2FD2"/>
    <w:rsid w:val="466C06C8"/>
    <w:rsid w:val="46765901"/>
    <w:rsid w:val="46A2306B"/>
    <w:rsid w:val="46BF2EEE"/>
    <w:rsid w:val="46D71FE6"/>
    <w:rsid w:val="46D72F13"/>
    <w:rsid w:val="46DD3374"/>
    <w:rsid w:val="46F411F0"/>
    <w:rsid w:val="472C5DFB"/>
    <w:rsid w:val="47321912"/>
    <w:rsid w:val="47470F08"/>
    <w:rsid w:val="475F1299"/>
    <w:rsid w:val="47657D3C"/>
    <w:rsid w:val="47E0311C"/>
    <w:rsid w:val="47F6492B"/>
    <w:rsid w:val="48053F97"/>
    <w:rsid w:val="482254E2"/>
    <w:rsid w:val="482A7F9C"/>
    <w:rsid w:val="48785F99"/>
    <w:rsid w:val="489B5295"/>
    <w:rsid w:val="48A57EC2"/>
    <w:rsid w:val="49066BB2"/>
    <w:rsid w:val="49465201"/>
    <w:rsid w:val="4960505A"/>
    <w:rsid w:val="49C8156E"/>
    <w:rsid w:val="49E12C8F"/>
    <w:rsid w:val="49F2369F"/>
    <w:rsid w:val="4A080293"/>
    <w:rsid w:val="4A0B01F8"/>
    <w:rsid w:val="4A1771DB"/>
    <w:rsid w:val="4A2D4613"/>
    <w:rsid w:val="4A444DFB"/>
    <w:rsid w:val="4A79690E"/>
    <w:rsid w:val="4A895CED"/>
    <w:rsid w:val="4AA91EEB"/>
    <w:rsid w:val="4AC565F9"/>
    <w:rsid w:val="4AEE78FE"/>
    <w:rsid w:val="4B2652EA"/>
    <w:rsid w:val="4B2C587D"/>
    <w:rsid w:val="4B3B0583"/>
    <w:rsid w:val="4B6518BA"/>
    <w:rsid w:val="4B7D6ED4"/>
    <w:rsid w:val="4B7F38BA"/>
    <w:rsid w:val="4BA47608"/>
    <w:rsid w:val="4BAE58C7"/>
    <w:rsid w:val="4C054A64"/>
    <w:rsid w:val="4C0A0767"/>
    <w:rsid w:val="4C14637E"/>
    <w:rsid w:val="4C15710C"/>
    <w:rsid w:val="4C235CCD"/>
    <w:rsid w:val="4C657C0A"/>
    <w:rsid w:val="4CB07087"/>
    <w:rsid w:val="4CC052CA"/>
    <w:rsid w:val="4CF713C3"/>
    <w:rsid w:val="4CFD3A74"/>
    <w:rsid w:val="4D2E2B7B"/>
    <w:rsid w:val="4D486EE0"/>
    <w:rsid w:val="4D4B54DB"/>
    <w:rsid w:val="4D695843"/>
    <w:rsid w:val="4D7A7B6F"/>
    <w:rsid w:val="4D844549"/>
    <w:rsid w:val="4DB82445"/>
    <w:rsid w:val="4DE374C2"/>
    <w:rsid w:val="4DEF5C1C"/>
    <w:rsid w:val="4E324336"/>
    <w:rsid w:val="4E772300"/>
    <w:rsid w:val="4EB70C79"/>
    <w:rsid w:val="4EDE5BC3"/>
    <w:rsid w:val="4EEF2740"/>
    <w:rsid w:val="4F0C7F3B"/>
    <w:rsid w:val="4F2064F4"/>
    <w:rsid w:val="4F461E87"/>
    <w:rsid w:val="4F521570"/>
    <w:rsid w:val="4F5A37B4"/>
    <w:rsid w:val="4FB8672C"/>
    <w:rsid w:val="4FFB7002"/>
    <w:rsid w:val="5000392F"/>
    <w:rsid w:val="503C55AF"/>
    <w:rsid w:val="504C5B1C"/>
    <w:rsid w:val="5060129E"/>
    <w:rsid w:val="50603894"/>
    <w:rsid w:val="509F6845"/>
    <w:rsid w:val="50C03AEB"/>
    <w:rsid w:val="50C125BB"/>
    <w:rsid w:val="50FA487E"/>
    <w:rsid w:val="515072E6"/>
    <w:rsid w:val="51621046"/>
    <w:rsid w:val="517221D9"/>
    <w:rsid w:val="5176064D"/>
    <w:rsid w:val="5186229F"/>
    <w:rsid w:val="51960CEF"/>
    <w:rsid w:val="51A96F02"/>
    <w:rsid w:val="51D50DD6"/>
    <w:rsid w:val="51D80D96"/>
    <w:rsid w:val="51F7566F"/>
    <w:rsid w:val="51FA74D0"/>
    <w:rsid w:val="520D061F"/>
    <w:rsid w:val="52126D35"/>
    <w:rsid w:val="52187956"/>
    <w:rsid w:val="5277192F"/>
    <w:rsid w:val="52A47B79"/>
    <w:rsid w:val="52A92354"/>
    <w:rsid w:val="52E40613"/>
    <w:rsid w:val="53095C1D"/>
    <w:rsid w:val="53227641"/>
    <w:rsid w:val="53690469"/>
    <w:rsid w:val="53BD07B5"/>
    <w:rsid w:val="540A08BE"/>
    <w:rsid w:val="540C5299"/>
    <w:rsid w:val="54627EC3"/>
    <w:rsid w:val="54A26F2C"/>
    <w:rsid w:val="54A95FCE"/>
    <w:rsid w:val="54DE09E3"/>
    <w:rsid w:val="54FB77E7"/>
    <w:rsid w:val="551640B0"/>
    <w:rsid w:val="5522341D"/>
    <w:rsid w:val="55287EB0"/>
    <w:rsid w:val="552F7491"/>
    <w:rsid w:val="554E3DBB"/>
    <w:rsid w:val="558E2409"/>
    <w:rsid w:val="55A41C2D"/>
    <w:rsid w:val="55EB123E"/>
    <w:rsid w:val="55F52F70"/>
    <w:rsid w:val="55FDEEA5"/>
    <w:rsid w:val="561F5757"/>
    <w:rsid w:val="56384123"/>
    <w:rsid w:val="563F60B4"/>
    <w:rsid w:val="565D1A56"/>
    <w:rsid w:val="56F20776"/>
    <w:rsid w:val="56FA587C"/>
    <w:rsid w:val="570109B9"/>
    <w:rsid w:val="57032983"/>
    <w:rsid w:val="571F557C"/>
    <w:rsid w:val="572052E3"/>
    <w:rsid w:val="572172AD"/>
    <w:rsid w:val="57351DA1"/>
    <w:rsid w:val="574D68CB"/>
    <w:rsid w:val="576D24F2"/>
    <w:rsid w:val="57D90632"/>
    <w:rsid w:val="57DB2325"/>
    <w:rsid w:val="57FBFFE5"/>
    <w:rsid w:val="5813309A"/>
    <w:rsid w:val="58223AE0"/>
    <w:rsid w:val="5866141B"/>
    <w:rsid w:val="58681C8B"/>
    <w:rsid w:val="586A0163"/>
    <w:rsid w:val="589046EA"/>
    <w:rsid w:val="58977827"/>
    <w:rsid w:val="58B54151"/>
    <w:rsid w:val="58EF3AC8"/>
    <w:rsid w:val="5963595B"/>
    <w:rsid w:val="59A044B9"/>
    <w:rsid w:val="59AD3D34"/>
    <w:rsid w:val="5A0C69CF"/>
    <w:rsid w:val="5A1A070F"/>
    <w:rsid w:val="5A455061"/>
    <w:rsid w:val="5AFA409D"/>
    <w:rsid w:val="5B01542B"/>
    <w:rsid w:val="5B136F0D"/>
    <w:rsid w:val="5B266C40"/>
    <w:rsid w:val="5BE07737"/>
    <w:rsid w:val="5C0056E3"/>
    <w:rsid w:val="5C68314D"/>
    <w:rsid w:val="5C796AC6"/>
    <w:rsid w:val="5C9B365E"/>
    <w:rsid w:val="5CA00C74"/>
    <w:rsid w:val="5CA40764"/>
    <w:rsid w:val="5CA9C74A"/>
    <w:rsid w:val="5CBD26DC"/>
    <w:rsid w:val="5CF8BE5A"/>
    <w:rsid w:val="5D4B1F27"/>
    <w:rsid w:val="5D7F29E1"/>
    <w:rsid w:val="5DAB167E"/>
    <w:rsid w:val="5DD230AF"/>
    <w:rsid w:val="5DF11787"/>
    <w:rsid w:val="5E033269"/>
    <w:rsid w:val="5E3D49CC"/>
    <w:rsid w:val="5EC96260"/>
    <w:rsid w:val="5ED30E8D"/>
    <w:rsid w:val="5EF746FA"/>
    <w:rsid w:val="5EFF0BA6"/>
    <w:rsid w:val="5F1C6CD8"/>
    <w:rsid w:val="5F221E14"/>
    <w:rsid w:val="5F363573"/>
    <w:rsid w:val="5F7801A6"/>
    <w:rsid w:val="5FB567E4"/>
    <w:rsid w:val="5FBE3889"/>
    <w:rsid w:val="5FCE0DF8"/>
    <w:rsid w:val="5FF4555F"/>
    <w:rsid w:val="5FF5C774"/>
    <w:rsid w:val="5FFF9A75"/>
    <w:rsid w:val="600C0AFA"/>
    <w:rsid w:val="6022031E"/>
    <w:rsid w:val="60243CC7"/>
    <w:rsid w:val="60545FFD"/>
    <w:rsid w:val="609B6D65"/>
    <w:rsid w:val="609D7277"/>
    <w:rsid w:val="609F72B9"/>
    <w:rsid w:val="60A54AAB"/>
    <w:rsid w:val="60B92304"/>
    <w:rsid w:val="60C23997"/>
    <w:rsid w:val="60CA4511"/>
    <w:rsid w:val="610F75D9"/>
    <w:rsid w:val="613F86B4"/>
    <w:rsid w:val="61916000"/>
    <w:rsid w:val="61A15272"/>
    <w:rsid w:val="625422E5"/>
    <w:rsid w:val="62595B4D"/>
    <w:rsid w:val="62774225"/>
    <w:rsid w:val="63022520"/>
    <w:rsid w:val="630E3C83"/>
    <w:rsid w:val="632C5010"/>
    <w:rsid w:val="63BF1DB6"/>
    <w:rsid w:val="63E137D0"/>
    <w:rsid w:val="63EE6769"/>
    <w:rsid w:val="64794774"/>
    <w:rsid w:val="64811712"/>
    <w:rsid w:val="64CF0348"/>
    <w:rsid w:val="64D15E6F"/>
    <w:rsid w:val="64D328BA"/>
    <w:rsid w:val="64E26185"/>
    <w:rsid w:val="650A312E"/>
    <w:rsid w:val="652A5B5F"/>
    <w:rsid w:val="65963018"/>
    <w:rsid w:val="65A13A93"/>
    <w:rsid w:val="65BB4822"/>
    <w:rsid w:val="65BD2897"/>
    <w:rsid w:val="66375096"/>
    <w:rsid w:val="663C10FB"/>
    <w:rsid w:val="66A17AC3"/>
    <w:rsid w:val="66A36732"/>
    <w:rsid w:val="66AA69E2"/>
    <w:rsid w:val="66C20165"/>
    <w:rsid w:val="66DD08BE"/>
    <w:rsid w:val="67112617"/>
    <w:rsid w:val="67465010"/>
    <w:rsid w:val="67573B25"/>
    <w:rsid w:val="6779459B"/>
    <w:rsid w:val="6796214B"/>
    <w:rsid w:val="67C37122"/>
    <w:rsid w:val="67DA6285"/>
    <w:rsid w:val="68232E85"/>
    <w:rsid w:val="682C4037"/>
    <w:rsid w:val="68617509"/>
    <w:rsid w:val="68896A60"/>
    <w:rsid w:val="68945B31"/>
    <w:rsid w:val="68B27578"/>
    <w:rsid w:val="68DC7612"/>
    <w:rsid w:val="696848C8"/>
    <w:rsid w:val="69733F6A"/>
    <w:rsid w:val="698E432E"/>
    <w:rsid w:val="69B35D1D"/>
    <w:rsid w:val="69BE4592"/>
    <w:rsid w:val="69C24462"/>
    <w:rsid w:val="69E27A87"/>
    <w:rsid w:val="6A246A40"/>
    <w:rsid w:val="6A507681"/>
    <w:rsid w:val="6A754057"/>
    <w:rsid w:val="6ABE50E7"/>
    <w:rsid w:val="6AE72D9B"/>
    <w:rsid w:val="6B225676"/>
    <w:rsid w:val="6B301415"/>
    <w:rsid w:val="6B312972"/>
    <w:rsid w:val="6B3E2A69"/>
    <w:rsid w:val="6B5C2470"/>
    <w:rsid w:val="6B6F63E1"/>
    <w:rsid w:val="6BA1066E"/>
    <w:rsid w:val="6BD44D33"/>
    <w:rsid w:val="6BDD4B01"/>
    <w:rsid w:val="6BE40B7D"/>
    <w:rsid w:val="6C2E1DF8"/>
    <w:rsid w:val="6C332ECB"/>
    <w:rsid w:val="6C4038DA"/>
    <w:rsid w:val="6C8732CE"/>
    <w:rsid w:val="6CC87B57"/>
    <w:rsid w:val="6CEB784E"/>
    <w:rsid w:val="6CED3A62"/>
    <w:rsid w:val="6CF77E48"/>
    <w:rsid w:val="6D2755AD"/>
    <w:rsid w:val="6D2C27DC"/>
    <w:rsid w:val="6D333A34"/>
    <w:rsid w:val="6DB602F7"/>
    <w:rsid w:val="6DC0606F"/>
    <w:rsid w:val="6DDA2238"/>
    <w:rsid w:val="6E1F40EF"/>
    <w:rsid w:val="6E752083"/>
    <w:rsid w:val="6E957F0D"/>
    <w:rsid w:val="6EA13F6B"/>
    <w:rsid w:val="6EA42846"/>
    <w:rsid w:val="6F15104E"/>
    <w:rsid w:val="6F1865BD"/>
    <w:rsid w:val="6F525DFE"/>
    <w:rsid w:val="6F656188"/>
    <w:rsid w:val="6F6E0D4A"/>
    <w:rsid w:val="6F6F25F9"/>
    <w:rsid w:val="6F8D7959"/>
    <w:rsid w:val="6FFC78DB"/>
    <w:rsid w:val="70293003"/>
    <w:rsid w:val="70494955"/>
    <w:rsid w:val="70661C93"/>
    <w:rsid w:val="706A7177"/>
    <w:rsid w:val="706E4EB9"/>
    <w:rsid w:val="709078C1"/>
    <w:rsid w:val="70937D86"/>
    <w:rsid w:val="709F5073"/>
    <w:rsid w:val="70B34FC2"/>
    <w:rsid w:val="70C214C3"/>
    <w:rsid w:val="70ED4030"/>
    <w:rsid w:val="71341C5F"/>
    <w:rsid w:val="71463E90"/>
    <w:rsid w:val="717007BD"/>
    <w:rsid w:val="717100DF"/>
    <w:rsid w:val="71777222"/>
    <w:rsid w:val="717F6C52"/>
    <w:rsid w:val="71A2507A"/>
    <w:rsid w:val="71A54719"/>
    <w:rsid w:val="71E65CF2"/>
    <w:rsid w:val="71E82A49"/>
    <w:rsid w:val="722D1C1B"/>
    <w:rsid w:val="72514A93"/>
    <w:rsid w:val="725B146D"/>
    <w:rsid w:val="727147ED"/>
    <w:rsid w:val="727D7636"/>
    <w:rsid w:val="7289422C"/>
    <w:rsid w:val="72921914"/>
    <w:rsid w:val="7295780E"/>
    <w:rsid w:val="72CC7825"/>
    <w:rsid w:val="72F55AB7"/>
    <w:rsid w:val="72FF6511"/>
    <w:rsid w:val="73104006"/>
    <w:rsid w:val="73133AF6"/>
    <w:rsid w:val="731955B0"/>
    <w:rsid w:val="734819F2"/>
    <w:rsid w:val="735A1725"/>
    <w:rsid w:val="739BBC19"/>
    <w:rsid w:val="73EB58B2"/>
    <w:rsid w:val="74094CB4"/>
    <w:rsid w:val="740D1BDA"/>
    <w:rsid w:val="740F42BD"/>
    <w:rsid w:val="741B0509"/>
    <w:rsid w:val="741B0EB4"/>
    <w:rsid w:val="74220815"/>
    <w:rsid w:val="74235FBB"/>
    <w:rsid w:val="74433D8E"/>
    <w:rsid w:val="744C3764"/>
    <w:rsid w:val="745F3497"/>
    <w:rsid w:val="746B5ED9"/>
    <w:rsid w:val="748B7A9D"/>
    <w:rsid w:val="74A42141"/>
    <w:rsid w:val="74B542D0"/>
    <w:rsid w:val="74C3725D"/>
    <w:rsid w:val="74E53270"/>
    <w:rsid w:val="7513602F"/>
    <w:rsid w:val="753E2D17"/>
    <w:rsid w:val="75475CD9"/>
    <w:rsid w:val="756920F3"/>
    <w:rsid w:val="75882579"/>
    <w:rsid w:val="759334F7"/>
    <w:rsid w:val="75F776FF"/>
    <w:rsid w:val="75FB5580"/>
    <w:rsid w:val="766D7775"/>
    <w:rsid w:val="76801353"/>
    <w:rsid w:val="768947FB"/>
    <w:rsid w:val="769970D7"/>
    <w:rsid w:val="76A30685"/>
    <w:rsid w:val="76C74F3E"/>
    <w:rsid w:val="770A5210"/>
    <w:rsid w:val="7735228D"/>
    <w:rsid w:val="775D68E3"/>
    <w:rsid w:val="77C83101"/>
    <w:rsid w:val="77DF62EB"/>
    <w:rsid w:val="77FF4FD0"/>
    <w:rsid w:val="782837C8"/>
    <w:rsid w:val="787B0173"/>
    <w:rsid w:val="78886D34"/>
    <w:rsid w:val="78B31A8A"/>
    <w:rsid w:val="78B43685"/>
    <w:rsid w:val="79077A82"/>
    <w:rsid w:val="79234725"/>
    <w:rsid w:val="7960632D"/>
    <w:rsid w:val="79716E39"/>
    <w:rsid w:val="79984D55"/>
    <w:rsid w:val="79BD2A0E"/>
    <w:rsid w:val="79F5B099"/>
    <w:rsid w:val="7A13262E"/>
    <w:rsid w:val="7A312E66"/>
    <w:rsid w:val="7A3D5B2A"/>
    <w:rsid w:val="7A3EB5F4"/>
    <w:rsid w:val="7A48677B"/>
    <w:rsid w:val="7A5C3FD5"/>
    <w:rsid w:val="7A70182E"/>
    <w:rsid w:val="7A9E639B"/>
    <w:rsid w:val="7AE821E2"/>
    <w:rsid w:val="7B1D7C08"/>
    <w:rsid w:val="7B5EFE65"/>
    <w:rsid w:val="7B8AC8FC"/>
    <w:rsid w:val="7BC01845"/>
    <w:rsid w:val="7BFA3E64"/>
    <w:rsid w:val="7C1D1542"/>
    <w:rsid w:val="7C35307A"/>
    <w:rsid w:val="7C4A6D5B"/>
    <w:rsid w:val="7C4D62CB"/>
    <w:rsid w:val="7C8C70B9"/>
    <w:rsid w:val="7C947A56"/>
    <w:rsid w:val="7CA852AF"/>
    <w:rsid w:val="7CF76237"/>
    <w:rsid w:val="7D1B1F25"/>
    <w:rsid w:val="7D1F4EFA"/>
    <w:rsid w:val="7D243142"/>
    <w:rsid w:val="7D677692"/>
    <w:rsid w:val="7D7F7524"/>
    <w:rsid w:val="7DD87FEF"/>
    <w:rsid w:val="7DE672D0"/>
    <w:rsid w:val="7DEFE624"/>
    <w:rsid w:val="7E17093E"/>
    <w:rsid w:val="7E1B0471"/>
    <w:rsid w:val="7E696026"/>
    <w:rsid w:val="7EA26043"/>
    <w:rsid w:val="7EA45B3A"/>
    <w:rsid w:val="7EA47CF8"/>
    <w:rsid w:val="7EABB6A6"/>
    <w:rsid w:val="7EB808CB"/>
    <w:rsid w:val="7ED21514"/>
    <w:rsid w:val="7EE938A4"/>
    <w:rsid w:val="7EF576D4"/>
    <w:rsid w:val="7EFFF193"/>
    <w:rsid w:val="7F0A396F"/>
    <w:rsid w:val="7F144E7E"/>
    <w:rsid w:val="7F211349"/>
    <w:rsid w:val="7F21188E"/>
    <w:rsid w:val="7F271055"/>
    <w:rsid w:val="7F2D5A4E"/>
    <w:rsid w:val="7F533BF8"/>
    <w:rsid w:val="7F625BE9"/>
    <w:rsid w:val="7F7372B9"/>
    <w:rsid w:val="7FB126CD"/>
    <w:rsid w:val="7FBD2A21"/>
    <w:rsid w:val="7FE64A6C"/>
    <w:rsid w:val="7FEFB5A7"/>
    <w:rsid w:val="7FF84837"/>
    <w:rsid w:val="8FFA46BC"/>
    <w:rsid w:val="9B3FD990"/>
    <w:rsid w:val="ABF726AB"/>
    <w:rsid w:val="ADF76168"/>
    <w:rsid w:val="AFFF4184"/>
    <w:rsid w:val="B6FF208A"/>
    <w:rsid w:val="BBDF274A"/>
    <w:rsid w:val="BFFF46C8"/>
    <w:rsid w:val="DCED3743"/>
    <w:rsid w:val="DDEBF90C"/>
    <w:rsid w:val="DEFFF1E6"/>
    <w:rsid w:val="DFEE08F3"/>
    <w:rsid w:val="EBCDD2EC"/>
    <w:rsid w:val="EBF60635"/>
    <w:rsid w:val="EEFFE43F"/>
    <w:rsid w:val="EFEEEA39"/>
    <w:rsid w:val="F6807437"/>
    <w:rsid w:val="F7BFF45D"/>
    <w:rsid w:val="FEDFDCCD"/>
    <w:rsid w:val="FFEDA341"/>
    <w:rsid w:val="FFEF396C"/>
    <w:rsid w:val="FFF22FA6"/>
    <w:rsid w:val="FFFBF2A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964" w:firstLineChars="200"/>
      <w:jc w:val="both"/>
    </w:pPr>
    <w:rPr>
      <w:rFonts w:ascii="Times New Roman" w:hAnsi="Times New Roman" w:eastAsia="宋体" w:cs="Times New Roman"/>
      <w:kern w:val="2"/>
      <w:sz w:val="24"/>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8"/>
    <w:qFormat/>
    <w:uiPriority w:val="0"/>
    <w:pPr>
      <w:jc w:val="left"/>
    </w:pPr>
  </w:style>
  <w:style w:type="paragraph" w:styleId="3">
    <w:name w:val="Body Text"/>
    <w:basedOn w:val="1"/>
    <w:semiHidden/>
    <w:qFormat/>
    <w:uiPriority w:val="0"/>
    <w:rPr>
      <w:rFonts w:ascii="宋体" w:hAnsi="宋体" w:cs="宋体"/>
      <w:szCs w:val="24"/>
      <w:lang w:eastAsia="en-US"/>
    </w:rPr>
  </w:style>
  <w:style w:type="paragraph" w:styleId="4">
    <w:name w:val="Balloon Text"/>
    <w:basedOn w:val="1"/>
    <w:link w:val="27"/>
    <w:qFormat/>
    <w:uiPriority w:val="0"/>
    <w:rPr>
      <w:sz w:val="18"/>
      <w:szCs w:val="18"/>
    </w:rPr>
  </w:style>
  <w:style w:type="paragraph" w:styleId="5">
    <w:name w:val="footer"/>
    <w:basedOn w:val="1"/>
    <w:link w:val="26"/>
    <w:qFormat/>
    <w:uiPriority w:val="0"/>
    <w:pPr>
      <w:tabs>
        <w:tab w:val="center" w:pos="4153"/>
        <w:tab w:val="right" w:pos="8306"/>
      </w:tabs>
      <w:snapToGrid w:val="0"/>
      <w:jc w:val="left"/>
    </w:pPr>
    <w:rPr>
      <w:sz w:val="18"/>
      <w:szCs w:val="18"/>
    </w:rPr>
  </w:style>
  <w:style w:type="paragraph" w:styleId="6">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rPr>
      <w:szCs w:val="24"/>
    </w:rPr>
  </w:style>
  <w:style w:type="paragraph" w:styleId="8">
    <w:name w:val="annotation subject"/>
    <w:basedOn w:val="2"/>
    <w:next w:val="2"/>
    <w:link w:val="29"/>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12">
    <w:name w:val="FollowedHyperlink"/>
    <w:basedOn w:val="11"/>
    <w:qFormat/>
    <w:uiPriority w:val="0"/>
    <w:rPr>
      <w:color w:val="800080"/>
      <w:u w:val="single"/>
    </w:rPr>
  </w:style>
  <w:style w:type="character" w:styleId="13">
    <w:name w:val="Hyperlink"/>
    <w:basedOn w:val="11"/>
    <w:qFormat/>
    <w:uiPriority w:val="0"/>
    <w:rPr>
      <w:color w:val="0000FF"/>
      <w:u w:val="single"/>
    </w:rPr>
  </w:style>
  <w:style w:type="character" w:styleId="14">
    <w:name w:val="annotation reference"/>
    <w:basedOn w:val="11"/>
    <w:qFormat/>
    <w:uiPriority w:val="0"/>
    <w:rPr>
      <w:sz w:val="21"/>
      <w:szCs w:val="21"/>
    </w:rPr>
  </w:style>
  <w:style w:type="paragraph" w:customStyle="1" w:styleId="15">
    <w:name w:val="Default"/>
    <w:qFormat/>
    <w:uiPriority w:val="0"/>
    <w:pPr>
      <w:widowControl w:val="0"/>
      <w:autoSpaceDE w:val="0"/>
      <w:autoSpaceDN w:val="0"/>
      <w:adjustRightInd w:val="0"/>
    </w:pPr>
    <w:rPr>
      <w:rFonts w:ascii="黑体" w:hAnsi="黑体" w:eastAsia="宋体" w:cs="黑体"/>
      <w:color w:val="000000"/>
      <w:sz w:val="24"/>
      <w:szCs w:val="24"/>
      <w:lang w:val="en-US" w:eastAsia="zh-CN" w:bidi="ar-SA"/>
    </w:rPr>
  </w:style>
  <w:style w:type="character" w:customStyle="1" w:styleId="16">
    <w:name w:val="fontstyle01"/>
    <w:basedOn w:val="11"/>
    <w:qFormat/>
    <w:uiPriority w:val="0"/>
    <w:rPr>
      <w:rFonts w:ascii="黑体" w:hAnsi="宋体" w:eastAsia="黑体" w:cs="黑体"/>
      <w:color w:val="000000"/>
      <w:sz w:val="28"/>
      <w:szCs w:val="28"/>
    </w:rPr>
  </w:style>
  <w:style w:type="character" w:customStyle="1" w:styleId="17">
    <w:name w:val="fontstyle11"/>
    <w:basedOn w:val="11"/>
    <w:qFormat/>
    <w:uiPriority w:val="0"/>
    <w:rPr>
      <w:rFonts w:ascii="宋体" w:hAnsi="宋体" w:eastAsia="宋体" w:cs="宋体"/>
      <w:color w:val="000000"/>
      <w:sz w:val="24"/>
      <w:szCs w:val="24"/>
    </w:rPr>
  </w:style>
  <w:style w:type="character" w:customStyle="1" w:styleId="18">
    <w:name w:val="fontstyle21"/>
    <w:basedOn w:val="11"/>
    <w:qFormat/>
    <w:uiPriority w:val="0"/>
    <w:rPr>
      <w:rFonts w:ascii="TimesNewRomanPSMT" w:hAnsi="TimesNewRomanPSMT" w:eastAsia="TimesNewRomanPSMT" w:cs="TimesNewRomanPSMT"/>
      <w:color w:val="000000"/>
      <w:sz w:val="24"/>
      <w:szCs w:val="24"/>
    </w:rPr>
  </w:style>
  <w:style w:type="character" w:customStyle="1" w:styleId="19">
    <w:name w:val="fontstyle31"/>
    <w:basedOn w:val="11"/>
    <w:qFormat/>
    <w:uiPriority w:val="0"/>
    <w:rPr>
      <w:rFonts w:ascii="宋体" w:hAnsi="宋体" w:eastAsia="宋体" w:cs="宋体"/>
      <w:color w:val="000000"/>
      <w:sz w:val="24"/>
      <w:szCs w:val="24"/>
    </w:rPr>
  </w:style>
  <w:style w:type="character" w:customStyle="1" w:styleId="20">
    <w:name w:val="fontstyle41"/>
    <w:basedOn w:val="11"/>
    <w:qFormat/>
    <w:uiPriority w:val="0"/>
    <w:rPr>
      <w:rFonts w:ascii="TimesNewRomanPSMT" w:hAnsi="TimesNewRomanPSMT" w:eastAsia="TimesNewRomanPSMT" w:cs="TimesNewRomanPSMT"/>
      <w:color w:val="000000"/>
      <w:sz w:val="24"/>
      <w:szCs w:val="24"/>
    </w:rPr>
  </w:style>
  <w:style w:type="character" w:customStyle="1" w:styleId="21">
    <w:name w:val="fontstyle51"/>
    <w:basedOn w:val="11"/>
    <w:qFormat/>
    <w:uiPriority w:val="0"/>
    <w:rPr>
      <w:rFonts w:ascii="SymbolMT" w:hAnsi="SymbolMT" w:eastAsia="SymbolMT" w:cs="SymbolMT"/>
      <w:color w:val="000000"/>
      <w:sz w:val="22"/>
      <w:szCs w:val="22"/>
    </w:rPr>
  </w:style>
  <w:style w:type="character" w:customStyle="1" w:styleId="22">
    <w:name w:val="15"/>
    <w:basedOn w:val="11"/>
    <w:qFormat/>
    <w:uiPriority w:val="0"/>
    <w:rPr>
      <w:rFonts w:hint="default" w:ascii="Times New Roman" w:hAnsi="Times New Roman" w:cs="Times New Roman"/>
      <w:color w:val="800080"/>
      <w:u w:val="single"/>
    </w:rPr>
  </w:style>
  <w:style w:type="character" w:customStyle="1" w:styleId="23">
    <w:name w:val="16"/>
    <w:basedOn w:val="11"/>
    <w:qFormat/>
    <w:uiPriority w:val="0"/>
    <w:rPr>
      <w:rFonts w:hint="default" w:ascii="Times New Roman" w:hAnsi="Times New Roman" w:cs="Times New Roman"/>
      <w:color w:val="0000FF"/>
      <w:u w:val="single"/>
    </w:rPr>
  </w:style>
  <w:style w:type="character" w:customStyle="1" w:styleId="24">
    <w:name w:val="10"/>
    <w:basedOn w:val="11"/>
    <w:qFormat/>
    <w:uiPriority w:val="0"/>
    <w:rPr>
      <w:rFonts w:hint="default" w:ascii="Times New Roman" w:hAnsi="Times New Roman" w:cs="Times New Roman"/>
    </w:rPr>
  </w:style>
  <w:style w:type="character" w:customStyle="1" w:styleId="25">
    <w:name w:val="页眉 字符"/>
    <w:basedOn w:val="11"/>
    <w:link w:val="6"/>
    <w:qFormat/>
    <w:uiPriority w:val="0"/>
    <w:rPr>
      <w:kern w:val="2"/>
      <w:sz w:val="18"/>
      <w:szCs w:val="18"/>
    </w:rPr>
  </w:style>
  <w:style w:type="character" w:customStyle="1" w:styleId="26">
    <w:name w:val="页脚 字符"/>
    <w:basedOn w:val="11"/>
    <w:link w:val="5"/>
    <w:qFormat/>
    <w:uiPriority w:val="0"/>
    <w:rPr>
      <w:kern w:val="2"/>
      <w:sz w:val="18"/>
      <w:szCs w:val="18"/>
    </w:rPr>
  </w:style>
  <w:style w:type="character" w:customStyle="1" w:styleId="27">
    <w:name w:val="批注框文本 字符"/>
    <w:basedOn w:val="11"/>
    <w:link w:val="4"/>
    <w:qFormat/>
    <w:uiPriority w:val="0"/>
    <w:rPr>
      <w:kern w:val="2"/>
      <w:sz w:val="18"/>
      <w:szCs w:val="18"/>
    </w:rPr>
  </w:style>
  <w:style w:type="character" w:customStyle="1" w:styleId="28">
    <w:name w:val="批注文字 字符"/>
    <w:basedOn w:val="11"/>
    <w:link w:val="2"/>
    <w:qFormat/>
    <w:uiPriority w:val="0"/>
    <w:rPr>
      <w:kern w:val="2"/>
      <w:sz w:val="24"/>
      <w:szCs w:val="22"/>
    </w:rPr>
  </w:style>
  <w:style w:type="character" w:customStyle="1" w:styleId="29">
    <w:name w:val="批注主题 字符"/>
    <w:basedOn w:val="28"/>
    <w:link w:val="8"/>
    <w:qFormat/>
    <w:uiPriority w:val="0"/>
    <w:rPr>
      <w:b/>
      <w:bCs/>
      <w:kern w:val="2"/>
      <w:sz w:val="24"/>
      <w:szCs w:val="22"/>
    </w:rPr>
  </w:style>
  <w:style w:type="character" w:customStyle="1" w:styleId="30">
    <w:name w:val="未处理的提及1"/>
    <w:basedOn w:val="11"/>
    <w:semiHidden/>
    <w:unhideWhenUsed/>
    <w:qFormat/>
    <w:uiPriority w:val="99"/>
    <w:rPr>
      <w:color w:val="605E5C"/>
      <w:shd w:val="clear" w:color="auto" w:fill="E1DFDD"/>
    </w:rPr>
  </w:style>
  <w:style w:type="paragraph" w:styleId="31">
    <w:name w:val="List Paragraph"/>
    <w:basedOn w:val="1"/>
    <w:unhideWhenUsed/>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image" Target="media/image7.wmf"/><Relationship Id="rId24" Type="http://schemas.openxmlformats.org/officeDocument/2006/relationships/oleObject" Target="embeddings/oleObject3.bin"/><Relationship Id="rId23" Type="http://schemas.openxmlformats.org/officeDocument/2006/relationships/image" Target="media/image6.wmf"/><Relationship Id="rId22" Type="http://schemas.openxmlformats.org/officeDocument/2006/relationships/oleObject" Target="embeddings/oleObject2.bin"/><Relationship Id="rId21" Type="http://schemas.openxmlformats.org/officeDocument/2006/relationships/image" Target="media/image5.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4.emf"/><Relationship Id="rId18" Type="http://schemas.openxmlformats.org/officeDocument/2006/relationships/oleObject" Target="embeddings/Microsoft_Visio_2003-2010___4.vsd"/><Relationship Id="rId17" Type="http://schemas.openxmlformats.org/officeDocument/2006/relationships/image" Target="media/image3.emf"/><Relationship Id="rId16" Type="http://schemas.openxmlformats.org/officeDocument/2006/relationships/oleObject" Target="embeddings/Microsoft_Visio_2003-2010___3.vsd"/><Relationship Id="rId15" Type="http://schemas.openxmlformats.org/officeDocument/2006/relationships/image" Target="media/image2.emf"/><Relationship Id="rId14" Type="http://schemas.openxmlformats.org/officeDocument/2006/relationships/oleObject" Target="embeddings/Microsoft_Visio_2003-2010___2.vsd"/><Relationship Id="rId13" Type="http://schemas.openxmlformats.org/officeDocument/2006/relationships/image" Target="media/image1.emf"/><Relationship Id="rId12" Type="http://schemas.openxmlformats.org/officeDocument/2006/relationships/oleObject" Target="embeddings/Microsoft_Visio_2003-2010___1.vsd"/><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13</Pages>
  <Words>6222</Words>
  <Characters>6597</Characters>
  <Lines>54</Lines>
  <Paragraphs>15</Paragraphs>
  <TotalTime>19</TotalTime>
  <ScaleCrop>false</ScaleCrop>
  <LinksUpToDate>false</LinksUpToDate>
  <CharactersWithSpaces>6625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2025-06-26T07:19:00Z</dcterms:created>
  <dc:creator>王庆国</dc:creator>
  <cp:lastModifiedBy>龚剑</cp:lastModifiedBy>
  <cp:lastPrinted>2023-07-30T16:25:00Z</cp:lastPrinted>
  <dcterms:modified xsi:type="dcterms:W3CDTF">2026-06-24T01:33:17Z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9CD6B9A4396A47C88D54E9A19C15EB3D_13</vt:lpwstr>
  </property>
  <property fmtid="{D5CDD505-2E9C-101B-9397-08002B2CF9AE}" pid="4" name="KSOTemplateDocerSaveRecord">
    <vt:lpwstr>eyJoZGlkIjoiMWFjNzg1NDk0YTU4NjQwMDhlZTFiNzBkYWFlMTk2NGYiLCJ1c2VySWQiOiIxNjU5MzQwMTYxIn0=</vt:lpwstr>
  </property>
</Properties>
</file>