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ind w:firstLine="640"/>
        <w:jc w:val="center"/>
        <w:rPr>
          <w:rFonts w:ascii="方正小标宋简体" w:hAnsi="宋体" w:eastAsia="方正小标宋简体"/>
          <w:b/>
          <w:sz w:val="32"/>
          <w:szCs w:val="32"/>
        </w:rPr>
      </w:pPr>
      <w:bookmarkStart w:id="0" w:name="_Toc19631945"/>
      <w:r>
        <w:rPr>
          <w:rFonts w:hint="eastAsia" w:ascii="方正小标宋简体" w:hAnsi="宋体" w:eastAsia="方正小标宋简体"/>
          <w:b/>
          <w:sz w:val="32"/>
          <w:szCs w:val="32"/>
        </w:rPr>
        <w:t>电气工程学院本科生各年级人数</w:t>
      </w:r>
      <w:r>
        <w:rPr>
          <w:rFonts w:hint="eastAsia" w:ascii="方正小标宋简体" w:hAnsi="宋体" w:eastAsia="方正小标宋简体"/>
          <w:b/>
          <w:szCs w:val="24"/>
        </w:rPr>
        <w:t>（总人数1</w:t>
      </w:r>
      <w:r>
        <w:rPr>
          <w:rFonts w:ascii="方正小标宋简体" w:hAnsi="宋体" w:eastAsia="方正小标宋简体"/>
          <w:b/>
          <w:szCs w:val="24"/>
        </w:rPr>
        <w:t>813</w:t>
      </w:r>
      <w:r>
        <w:rPr>
          <w:rFonts w:hint="eastAsia" w:ascii="方正小标宋简体" w:hAnsi="宋体" w:eastAsia="方正小标宋简体"/>
          <w:b/>
          <w:szCs w:val="24"/>
        </w:rPr>
        <w:t>人）</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autofit"/>
        <w:tblCellMar>
          <w:top w:w="0" w:type="dxa"/>
          <w:left w:w="0" w:type="dxa"/>
          <w:bottom w:w="0" w:type="dxa"/>
          <w:right w:w="0" w:type="dxa"/>
        </w:tblCellMar>
      </w:tblPr>
      <w:tblGrid>
        <w:gridCol w:w="1897"/>
        <w:gridCol w:w="4771"/>
        <w:gridCol w:w="16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jc w:val="center"/>
        </w:trPr>
        <w:tc>
          <w:tcPr>
            <w:tcW w:w="1897" w:type="dxa"/>
            <w:shd w:val="clear" w:color="auto" w:fill="FFFFFF"/>
            <w:vAlign w:val="center"/>
          </w:tcPr>
          <w:p>
            <w:pPr>
              <w:widowControl/>
              <w:ind w:firstLine="482"/>
              <w:jc w:val="center"/>
              <w:rPr>
                <w:rFonts w:ascii="宋体" w:hAnsi="宋体" w:cs="宋体"/>
                <w:color w:val="333333"/>
                <w:kern w:val="0"/>
                <w:szCs w:val="24"/>
              </w:rPr>
            </w:pPr>
            <w:r>
              <w:rPr>
                <w:rFonts w:hint="eastAsia" w:ascii="宋体" w:hAnsi="宋体" w:cs="宋体"/>
                <w:b/>
                <w:bCs/>
                <w:color w:val="333333"/>
                <w:kern w:val="0"/>
                <w:szCs w:val="24"/>
              </w:rPr>
              <w:t>年级</w:t>
            </w:r>
          </w:p>
        </w:tc>
        <w:tc>
          <w:tcPr>
            <w:tcW w:w="4771" w:type="dxa"/>
            <w:shd w:val="clear" w:color="auto" w:fill="FFFFFF"/>
            <w:vAlign w:val="center"/>
          </w:tcPr>
          <w:p>
            <w:pPr>
              <w:widowControl/>
              <w:ind w:firstLine="482"/>
              <w:jc w:val="center"/>
              <w:rPr>
                <w:rFonts w:ascii="宋体" w:hAnsi="宋体" w:cs="宋体"/>
                <w:color w:val="333333"/>
                <w:kern w:val="0"/>
                <w:szCs w:val="24"/>
              </w:rPr>
            </w:pPr>
            <w:r>
              <w:rPr>
                <w:rFonts w:hint="eastAsia" w:ascii="宋体" w:hAnsi="宋体" w:cs="宋体"/>
                <w:b/>
                <w:bCs/>
                <w:color w:val="333333"/>
                <w:kern w:val="0"/>
                <w:szCs w:val="24"/>
              </w:rPr>
              <w:t>专业人数</w:t>
            </w:r>
          </w:p>
        </w:tc>
        <w:tc>
          <w:tcPr>
            <w:tcW w:w="1648" w:type="dxa"/>
            <w:shd w:val="clear" w:color="auto" w:fill="FFFFFF"/>
          </w:tcPr>
          <w:p>
            <w:pPr>
              <w:widowControl/>
              <w:ind w:firstLine="482"/>
              <w:jc w:val="center"/>
              <w:rPr>
                <w:rFonts w:ascii="宋体" w:hAnsi="宋体" w:cs="宋体"/>
                <w:b/>
                <w:bCs/>
                <w:color w:val="333333"/>
                <w:kern w:val="0"/>
                <w:szCs w:val="24"/>
              </w:rPr>
            </w:pPr>
            <w:r>
              <w:rPr>
                <w:rFonts w:hint="eastAsia" w:ascii="宋体" w:hAnsi="宋体" w:cs="宋体"/>
                <w:b/>
                <w:bCs/>
                <w:color w:val="333333"/>
                <w:kern w:val="0"/>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2549" w:hRule="atLeast"/>
          <w:jc w:val="center"/>
        </w:trPr>
        <w:tc>
          <w:tcPr>
            <w:tcW w:w="1897" w:type="dxa"/>
            <w:shd w:val="clear" w:color="auto" w:fill="FFFFFF"/>
            <w:vAlign w:val="center"/>
          </w:tcPr>
          <w:p>
            <w:pPr>
              <w:widowControl/>
              <w:ind w:firstLine="480"/>
              <w:rPr>
                <w:rFonts w:ascii="宋体" w:hAnsi="宋体" w:cs="宋体"/>
                <w:color w:val="333333"/>
                <w:kern w:val="0"/>
                <w:szCs w:val="24"/>
              </w:rPr>
            </w:pPr>
            <w:r>
              <w:rPr>
                <w:rFonts w:hint="eastAsia" w:ascii="宋体" w:hAnsi="宋体" w:cs="宋体"/>
                <w:color w:val="333333"/>
                <w:kern w:val="0"/>
                <w:szCs w:val="24"/>
              </w:rPr>
              <w:t>201</w:t>
            </w:r>
            <w:r>
              <w:rPr>
                <w:rFonts w:ascii="宋体" w:hAnsi="宋体" w:cs="宋体"/>
                <w:color w:val="333333"/>
                <w:kern w:val="0"/>
                <w:szCs w:val="24"/>
              </w:rPr>
              <w:t>8</w:t>
            </w:r>
            <w:r>
              <w:rPr>
                <w:rFonts w:hint="eastAsia" w:ascii="宋体" w:hAnsi="宋体" w:cs="宋体"/>
                <w:color w:val="333333"/>
                <w:kern w:val="0"/>
                <w:szCs w:val="24"/>
              </w:rPr>
              <w:t>级</w:t>
            </w:r>
          </w:p>
          <w:p>
            <w:pPr>
              <w:widowControl/>
              <w:ind w:firstLine="480"/>
              <w:jc w:val="center"/>
              <w:rPr>
                <w:rFonts w:ascii="宋体" w:hAnsi="宋体" w:cs="宋体"/>
                <w:color w:val="333333"/>
                <w:kern w:val="0"/>
                <w:szCs w:val="24"/>
              </w:rPr>
            </w:pPr>
            <w:r>
              <w:rPr>
                <w:rFonts w:hint="eastAsia" w:ascii="宋体" w:hAnsi="宋体" w:cs="宋体"/>
                <w:color w:val="333333"/>
                <w:kern w:val="0"/>
                <w:szCs w:val="24"/>
              </w:rPr>
              <w:t>（5</w:t>
            </w:r>
            <w:r>
              <w:rPr>
                <w:rFonts w:hint="eastAsia" w:ascii="宋体" w:hAnsi="宋体" w:cs="宋体"/>
                <w:color w:val="333333"/>
                <w:kern w:val="0"/>
                <w:szCs w:val="24"/>
                <w:lang w:val="en-US" w:eastAsia="zh-CN"/>
              </w:rPr>
              <w:t>86</w:t>
            </w:r>
            <w:bookmarkStart w:id="2" w:name="_GoBack"/>
            <w:bookmarkEnd w:id="2"/>
            <w:r>
              <w:rPr>
                <w:rFonts w:hint="eastAsia" w:ascii="宋体" w:hAnsi="宋体" w:cs="宋体"/>
                <w:color w:val="333333"/>
                <w:kern w:val="0"/>
                <w:szCs w:val="24"/>
              </w:rPr>
              <w:t>人）</w:t>
            </w:r>
          </w:p>
        </w:tc>
        <w:tc>
          <w:tcPr>
            <w:tcW w:w="4771" w:type="dxa"/>
            <w:shd w:val="clear" w:color="auto" w:fill="FFFFFF"/>
            <w:vAlign w:val="center"/>
          </w:tcPr>
          <w:p>
            <w:pPr>
              <w:widowControl/>
              <w:ind w:firstLine="480"/>
              <w:rPr>
                <w:rFonts w:ascii="宋体" w:hAnsi="宋体" w:cs="宋体"/>
                <w:color w:val="333333"/>
                <w:kern w:val="0"/>
                <w:szCs w:val="24"/>
              </w:rPr>
            </w:pPr>
            <w:r>
              <w:rPr>
                <w:rFonts w:hint="eastAsia" w:ascii="宋体" w:hAnsi="宋体" w:cs="宋体"/>
                <w:color w:val="333333"/>
                <w:kern w:val="0"/>
                <w:szCs w:val="24"/>
              </w:rPr>
              <w:t>轨道交通供电及其自动化：</w:t>
            </w:r>
            <w:r>
              <w:rPr>
                <w:rFonts w:ascii="宋体" w:hAnsi="宋体" w:cs="宋体"/>
                <w:color w:val="333333"/>
                <w:kern w:val="0"/>
                <w:szCs w:val="24"/>
              </w:rPr>
              <w:t>9</w:t>
            </w:r>
            <w:r>
              <w:rPr>
                <w:rFonts w:hint="eastAsia" w:ascii="宋体" w:hAnsi="宋体" w:cs="宋体"/>
                <w:color w:val="333333"/>
                <w:kern w:val="0"/>
                <w:szCs w:val="24"/>
                <w:lang w:val="en-US" w:eastAsia="zh-CN"/>
              </w:rPr>
              <w:t>6</w:t>
            </w:r>
            <w:r>
              <w:rPr>
                <w:rFonts w:hint="eastAsia" w:ascii="宋体" w:hAnsi="宋体" w:cs="宋体"/>
                <w:color w:val="333333"/>
                <w:kern w:val="0"/>
                <w:szCs w:val="24"/>
              </w:rPr>
              <w:t>人</w:t>
            </w:r>
          </w:p>
          <w:p>
            <w:pPr>
              <w:widowControl/>
              <w:ind w:firstLine="480"/>
              <w:rPr>
                <w:rFonts w:ascii="宋体" w:hAnsi="宋体" w:cs="宋体"/>
                <w:color w:val="333333"/>
                <w:kern w:val="0"/>
                <w:szCs w:val="24"/>
              </w:rPr>
            </w:pPr>
            <w:r>
              <w:rPr>
                <w:rFonts w:hint="eastAsia" w:ascii="宋体" w:hAnsi="宋体" w:cs="宋体"/>
                <w:color w:val="333333"/>
                <w:kern w:val="0"/>
                <w:szCs w:val="24"/>
              </w:rPr>
              <w:t>电力系统及其自动化：</w:t>
            </w:r>
            <w:r>
              <w:rPr>
                <w:rFonts w:ascii="宋体" w:hAnsi="宋体" w:cs="宋体"/>
                <w:color w:val="333333"/>
                <w:kern w:val="0"/>
                <w:szCs w:val="24"/>
              </w:rPr>
              <w:t>107</w:t>
            </w:r>
            <w:r>
              <w:rPr>
                <w:rFonts w:hint="eastAsia" w:ascii="宋体" w:hAnsi="宋体" w:cs="宋体"/>
                <w:color w:val="333333"/>
                <w:kern w:val="0"/>
                <w:szCs w:val="24"/>
              </w:rPr>
              <w:t>人</w:t>
            </w:r>
          </w:p>
          <w:p>
            <w:pPr>
              <w:widowControl/>
              <w:ind w:firstLine="480"/>
              <w:rPr>
                <w:rFonts w:ascii="宋体" w:hAnsi="宋体" w:cs="宋体"/>
                <w:color w:val="333333"/>
                <w:kern w:val="0"/>
                <w:szCs w:val="24"/>
              </w:rPr>
            </w:pPr>
            <w:r>
              <w:rPr>
                <w:rFonts w:hint="eastAsia" w:ascii="宋体" w:hAnsi="宋体" w:cs="宋体"/>
                <w:color w:val="333333"/>
                <w:kern w:val="0"/>
                <w:szCs w:val="24"/>
              </w:rPr>
              <w:t>电力电子与传动控制：</w:t>
            </w:r>
            <w:r>
              <w:rPr>
                <w:rFonts w:ascii="宋体" w:hAnsi="宋体" w:cs="宋体"/>
                <w:color w:val="333333"/>
                <w:kern w:val="0"/>
                <w:szCs w:val="24"/>
              </w:rPr>
              <w:t>101</w:t>
            </w:r>
            <w:r>
              <w:rPr>
                <w:rFonts w:hint="eastAsia" w:ascii="宋体" w:hAnsi="宋体" w:cs="宋体"/>
                <w:color w:val="333333"/>
                <w:kern w:val="0"/>
                <w:szCs w:val="24"/>
              </w:rPr>
              <w:t>人</w:t>
            </w:r>
          </w:p>
          <w:p>
            <w:pPr>
              <w:widowControl/>
              <w:ind w:firstLine="480"/>
              <w:rPr>
                <w:rFonts w:ascii="宋体" w:hAnsi="宋体" w:cs="宋体"/>
                <w:color w:val="333333"/>
                <w:kern w:val="0"/>
                <w:szCs w:val="24"/>
              </w:rPr>
            </w:pPr>
            <w:r>
              <w:rPr>
                <w:rFonts w:hint="eastAsia" w:ascii="宋体" w:hAnsi="宋体" w:cs="宋体"/>
                <w:color w:val="333333"/>
                <w:kern w:val="0"/>
                <w:szCs w:val="24"/>
              </w:rPr>
              <w:t>城轨与磁浮交通电气化：2</w:t>
            </w:r>
            <w:r>
              <w:rPr>
                <w:rFonts w:hint="eastAsia" w:ascii="宋体" w:hAnsi="宋体" w:cs="宋体"/>
                <w:color w:val="333333"/>
                <w:kern w:val="0"/>
                <w:szCs w:val="24"/>
                <w:lang w:val="en-US" w:eastAsia="zh-CN"/>
              </w:rPr>
              <w:t>3</w:t>
            </w:r>
            <w:r>
              <w:rPr>
                <w:rFonts w:hint="eastAsia" w:ascii="宋体" w:hAnsi="宋体" w:cs="宋体"/>
                <w:color w:val="333333"/>
                <w:kern w:val="0"/>
                <w:szCs w:val="24"/>
              </w:rPr>
              <w:t>人</w:t>
            </w:r>
          </w:p>
          <w:p>
            <w:pPr>
              <w:widowControl/>
              <w:ind w:left="480" w:leftChars="200" w:firstLine="0" w:firstLineChars="0"/>
              <w:rPr>
                <w:rFonts w:ascii="宋体" w:hAnsi="宋体" w:cs="宋体"/>
                <w:color w:val="333333"/>
                <w:kern w:val="0"/>
                <w:szCs w:val="24"/>
              </w:rPr>
            </w:pPr>
            <w:r>
              <w:rPr>
                <w:rFonts w:hint="eastAsia" w:ascii="宋体" w:hAnsi="宋体" w:cs="宋体"/>
                <w:color w:val="333333"/>
                <w:kern w:val="0"/>
                <w:szCs w:val="24"/>
              </w:rPr>
              <w:t>功率半导体器件及应用：8人</w:t>
            </w:r>
          </w:p>
          <w:p>
            <w:pPr>
              <w:widowControl/>
              <w:ind w:left="480" w:leftChars="200" w:firstLine="0" w:firstLineChars="0"/>
              <w:rPr>
                <w:rFonts w:ascii="宋体" w:hAnsi="宋体" w:cs="宋体"/>
                <w:color w:val="333333"/>
                <w:kern w:val="0"/>
                <w:szCs w:val="24"/>
              </w:rPr>
            </w:pPr>
            <w:r>
              <w:rPr>
                <w:rFonts w:hint="eastAsia" w:ascii="宋体" w:hAnsi="宋体" w:cs="宋体"/>
                <w:color w:val="333333"/>
                <w:kern w:val="0"/>
                <w:szCs w:val="24"/>
              </w:rPr>
              <w:t>电子信息工程：1</w:t>
            </w:r>
            <w:r>
              <w:rPr>
                <w:rFonts w:ascii="宋体" w:hAnsi="宋体" w:cs="宋体"/>
                <w:color w:val="333333"/>
                <w:kern w:val="0"/>
                <w:szCs w:val="24"/>
              </w:rPr>
              <w:t>31</w:t>
            </w:r>
            <w:r>
              <w:rPr>
                <w:rFonts w:hint="eastAsia" w:ascii="宋体" w:hAnsi="宋体" w:cs="宋体"/>
                <w:color w:val="333333"/>
                <w:kern w:val="0"/>
                <w:szCs w:val="24"/>
              </w:rPr>
              <w:t>人</w:t>
            </w:r>
          </w:p>
          <w:p>
            <w:pPr>
              <w:widowControl/>
              <w:ind w:firstLine="480"/>
              <w:rPr>
                <w:rFonts w:ascii="宋体" w:hAnsi="宋体" w:cs="宋体"/>
                <w:color w:val="333333"/>
                <w:kern w:val="0"/>
                <w:szCs w:val="24"/>
              </w:rPr>
            </w:pPr>
            <w:r>
              <w:rPr>
                <w:rFonts w:hint="eastAsia" w:ascii="宋体" w:hAnsi="宋体" w:cs="宋体"/>
                <w:color w:val="333333"/>
                <w:kern w:val="0"/>
                <w:szCs w:val="24"/>
              </w:rPr>
              <w:t>电气工程与智能控制：</w:t>
            </w:r>
            <w:r>
              <w:rPr>
                <w:rFonts w:ascii="宋体" w:hAnsi="宋体" w:cs="宋体"/>
                <w:color w:val="333333"/>
                <w:kern w:val="0"/>
                <w:szCs w:val="24"/>
              </w:rPr>
              <w:t>12</w:t>
            </w:r>
            <w:r>
              <w:rPr>
                <w:rFonts w:hint="eastAsia" w:ascii="宋体" w:hAnsi="宋体" w:cs="宋体"/>
                <w:color w:val="333333"/>
                <w:kern w:val="0"/>
                <w:szCs w:val="24"/>
                <w:lang w:val="en-US" w:eastAsia="zh-CN"/>
              </w:rPr>
              <w:t>0</w:t>
            </w:r>
            <w:r>
              <w:rPr>
                <w:rFonts w:hint="eastAsia" w:ascii="宋体" w:hAnsi="宋体" w:cs="宋体"/>
                <w:color w:val="333333"/>
                <w:kern w:val="0"/>
                <w:szCs w:val="24"/>
              </w:rPr>
              <w:t>人</w:t>
            </w:r>
          </w:p>
        </w:tc>
        <w:tc>
          <w:tcPr>
            <w:tcW w:w="1648" w:type="dxa"/>
            <w:shd w:val="clear" w:color="auto" w:fill="FFFFFF"/>
          </w:tcPr>
          <w:p>
            <w:pPr>
              <w:widowControl/>
              <w:ind w:firstLine="480"/>
              <w:rPr>
                <w:rFonts w:ascii="宋体" w:hAnsi="宋体" w:cs="宋体"/>
                <w:color w:val="333333"/>
                <w:kern w:val="0"/>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2549" w:hRule="atLeast"/>
          <w:jc w:val="center"/>
        </w:trPr>
        <w:tc>
          <w:tcPr>
            <w:tcW w:w="1897" w:type="dxa"/>
            <w:shd w:val="clear" w:color="auto" w:fill="FFFFFF"/>
            <w:vAlign w:val="center"/>
          </w:tcPr>
          <w:p>
            <w:pPr>
              <w:widowControl/>
              <w:ind w:firstLine="480"/>
              <w:rPr>
                <w:rFonts w:ascii="宋体" w:hAnsi="宋体" w:cs="宋体"/>
                <w:color w:val="333333"/>
                <w:kern w:val="0"/>
                <w:szCs w:val="24"/>
              </w:rPr>
            </w:pPr>
            <w:r>
              <w:rPr>
                <w:rFonts w:hint="eastAsia" w:ascii="宋体" w:hAnsi="宋体" w:cs="宋体"/>
                <w:color w:val="333333"/>
                <w:kern w:val="0"/>
                <w:szCs w:val="24"/>
              </w:rPr>
              <w:t>201</w:t>
            </w:r>
            <w:r>
              <w:rPr>
                <w:rFonts w:ascii="宋体" w:hAnsi="宋体" w:cs="宋体"/>
                <w:color w:val="333333"/>
                <w:kern w:val="0"/>
                <w:szCs w:val="24"/>
              </w:rPr>
              <w:t>9</w:t>
            </w:r>
            <w:r>
              <w:rPr>
                <w:rFonts w:hint="eastAsia" w:ascii="宋体" w:hAnsi="宋体" w:cs="宋体"/>
                <w:color w:val="333333"/>
                <w:kern w:val="0"/>
                <w:szCs w:val="24"/>
              </w:rPr>
              <w:t>级</w:t>
            </w:r>
          </w:p>
          <w:p>
            <w:pPr>
              <w:widowControl/>
              <w:ind w:firstLine="480"/>
              <w:jc w:val="center"/>
              <w:rPr>
                <w:rFonts w:ascii="宋体" w:hAnsi="宋体" w:cs="宋体"/>
                <w:color w:val="333333"/>
                <w:kern w:val="0"/>
                <w:szCs w:val="24"/>
              </w:rPr>
            </w:pPr>
            <w:r>
              <w:rPr>
                <w:rFonts w:hint="eastAsia" w:ascii="宋体" w:hAnsi="宋体" w:cs="宋体"/>
                <w:color w:val="333333"/>
                <w:kern w:val="0"/>
                <w:szCs w:val="24"/>
              </w:rPr>
              <w:t>（6</w:t>
            </w:r>
            <w:r>
              <w:rPr>
                <w:rFonts w:ascii="宋体" w:hAnsi="宋体" w:cs="宋体"/>
                <w:color w:val="333333"/>
                <w:kern w:val="0"/>
                <w:szCs w:val="24"/>
              </w:rPr>
              <w:t>39</w:t>
            </w:r>
            <w:r>
              <w:rPr>
                <w:rFonts w:hint="eastAsia" w:ascii="宋体" w:hAnsi="宋体" w:cs="宋体"/>
                <w:color w:val="333333"/>
                <w:kern w:val="0"/>
                <w:szCs w:val="24"/>
              </w:rPr>
              <w:t>人）</w:t>
            </w:r>
          </w:p>
        </w:tc>
        <w:tc>
          <w:tcPr>
            <w:tcW w:w="4771" w:type="dxa"/>
            <w:shd w:val="clear" w:color="auto" w:fill="FFFFFF"/>
            <w:vAlign w:val="center"/>
          </w:tcPr>
          <w:p>
            <w:pPr>
              <w:widowControl/>
              <w:ind w:firstLine="480"/>
              <w:rPr>
                <w:rFonts w:ascii="宋体" w:hAnsi="宋体" w:cs="宋体"/>
                <w:color w:val="333333"/>
                <w:kern w:val="0"/>
                <w:szCs w:val="24"/>
              </w:rPr>
            </w:pPr>
            <w:r>
              <w:rPr>
                <w:rFonts w:hint="eastAsia" w:ascii="宋体" w:hAnsi="宋体" w:cs="宋体"/>
                <w:color w:val="333333"/>
                <w:kern w:val="0"/>
                <w:szCs w:val="24"/>
              </w:rPr>
              <w:t>轨道交通供电及其自动化：</w:t>
            </w:r>
            <w:r>
              <w:rPr>
                <w:rFonts w:ascii="宋体" w:hAnsi="宋体" w:cs="宋体"/>
                <w:color w:val="333333"/>
                <w:kern w:val="0"/>
                <w:szCs w:val="24"/>
              </w:rPr>
              <w:t>109</w:t>
            </w:r>
            <w:r>
              <w:rPr>
                <w:rFonts w:hint="eastAsia" w:ascii="宋体" w:hAnsi="宋体" w:cs="宋体"/>
                <w:color w:val="333333"/>
                <w:kern w:val="0"/>
                <w:szCs w:val="24"/>
              </w:rPr>
              <w:t>人</w:t>
            </w:r>
          </w:p>
          <w:p>
            <w:pPr>
              <w:widowControl/>
              <w:ind w:firstLine="480"/>
              <w:rPr>
                <w:rFonts w:ascii="宋体" w:hAnsi="宋体" w:cs="宋体"/>
                <w:color w:val="333333"/>
                <w:kern w:val="0"/>
                <w:szCs w:val="24"/>
              </w:rPr>
            </w:pPr>
            <w:r>
              <w:rPr>
                <w:rFonts w:hint="eastAsia" w:ascii="宋体" w:hAnsi="宋体" w:cs="宋体"/>
                <w:color w:val="333333"/>
                <w:kern w:val="0"/>
                <w:szCs w:val="24"/>
              </w:rPr>
              <w:t>电力系统及其自动化：</w:t>
            </w:r>
            <w:r>
              <w:rPr>
                <w:rFonts w:ascii="宋体" w:hAnsi="宋体" w:cs="宋体"/>
                <w:color w:val="333333"/>
                <w:kern w:val="0"/>
                <w:szCs w:val="24"/>
              </w:rPr>
              <w:t>107</w:t>
            </w:r>
            <w:r>
              <w:rPr>
                <w:rFonts w:hint="eastAsia" w:ascii="宋体" w:hAnsi="宋体" w:cs="宋体"/>
                <w:color w:val="333333"/>
                <w:kern w:val="0"/>
                <w:szCs w:val="24"/>
              </w:rPr>
              <w:t>人</w:t>
            </w:r>
          </w:p>
          <w:p>
            <w:pPr>
              <w:widowControl/>
              <w:ind w:firstLine="480"/>
              <w:rPr>
                <w:rFonts w:ascii="宋体" w:hAnsi="宋体" w:cs="宋体"/>
                <w:color w:val="333333"/>
                <w:kern w:val="0"/>
                <w:szCs w:val="24"/>
              </w:rPr>
            </w:pPr>
            <w:r>
              <w:rPr>
                <w:rFonts w:hint="eastAsia" w:ascii="宋体" w:hAnsi="宋体" w:cs="宋体"/>
                <w:color w:val="333333"/>
                <w:kern w:val="0"/>
                <w:szCs w:val="24"/>
              </w:rPr>
              <w:t>电力电子与传动控制：</w:t>
            </w:r>
            <w:r>
              <w:rPr>
                <w:rFonts w:ascii="宋体" w:hAnsi="宋体" w:cs="宋体"/>
                <w:color w:val="333333"/>
                <w:kern w:val="0"/>
                <w:szCs w:val="24"/>
              </w:rPr>
              <w:t>102</w:t>
            </w:r>
            <w:r>
              <w:rPr>
                <w:rFonts w:hint="eastAsia" w:ascii="宋体" w:hAnsi="宋体" w:cs="宋体"/>
                <w:color w:val="333333"/>
                <w:kern w:val="0"/>
                <w:szCs w:val="24"/>
              </w:rPr>
              <w:t>人</w:t>
            </w:r>
          </w:p>
          <w:p>
            <w:pPr>
              <w:widowControl/>
              <w:ind w:firstLine="480"/>
              <w:rPr>
                <w:rFonts w:ascii="宋体" w:hAnsi="宋体" w:cs="宋体"/>
                <w:color w:val="333333"/>
                <w:kern w:val="0"/>
                <w:szCs w:val="24"/>
              </w:rPr>
            </w:pPr>
            <w:r>
              <w:rPr>
                <w:rFonts w:hint="eastAsia" w:ascii="宋体" w:hAnsi="宋体" w:cs="宋体"/>
                <w:color w:val="333333"/>
                <w:kern w:val="0"/>
                <w:szCs w:val="24"/>
              </w:rPr>
              <w:t>城轨与磁浮交通电气化：</w:t>
            </w:r>
            <w:r>
              <w:rPr>
                <w:rFonts w:ascii="宋体" w:hAnsi="宋体" w:cs="宋体"/>
                <w:color w:val="333333"/>
                <w:kern w:val="0"/>
                <w:szCs w:val="24"/>
              </w:rPr>
              <w:t>31</w:t>
            </w:r>
            <w:r>
              <w:rPr>
                <w:rFonts w:hint="eastAsia" w:ascii="宋体" w:hAnsi="宋体" w:cs="宋体"/>
                <w:color w:val="333333"/>
                <w:kern w:val="0"/>
                <w:szCs w:val="24"/>
              </w:rPr>
              <w:t>人</w:t>
            </w:r>
          </w:p>
          <w:p>
            <w:pPr>
              <w:widowControl/>
              <w:ind w:left="480" w:leftChars="200" w:firstLine="0" w:firstLineChars="0"/>
              <w:rPr>
                <w:rFonts w:ascii="宋体" w:hAnsi="宋体" w:cs="宋体"/>
                <w:color w:val="333333"/>
                <w:kern w:val="0"/>
                <w:szCs w:val="24"/>
              </w:rPr>
            </w:pPr>
            <w:r>
              <w:rPr>
                <w:rFonts w:hint="eastAsia" w:ascii="宋体" w:hAnsi="宋体" w:cs="宋体"/>
                <w:color w:val="333333"/>
                <w:kern w:val="0"/>
                <w:szCs w:val="24"/>
              </w:rPr>
              <w:t>功率半导体器件及应用：</w:t>
            </w:r>
            <w:r>
              <w:rPr>
                <w:rFonts w:ascii="宋体" w:hAnsi="宋体" w:cs="宋体"/>
                <w:color w:val="333333"/>
                <w:kern w:val="0"/>
                <w:szCs w:val="24"/>
              </w:rPr>
              <w:t>7</w:t>
            </w:r>
            <w:r>
              <w:rPr>
                <w:rFonts w:hint="eastAsia" w:ascii="宋体" w:hAnsi="宋体" w:cs="宋体"/>
                <w:color w:val="333333"/>
                <w:kern w:val="0"/>
                <w:szCs w:val="24"/>
              </w:rPr>
              <w:t>人</w:t>
            </w:r>
          </w:p>
          <w:p>
            <w:pPr>
              <w:widowControl/>
              <w:ind w:left="480" w:leftChars="200" w:firstLine="0" w:firstLineChars="0"/>
              <w:rPr>
                <w:rFonts w:ascii="宋体" w:hAnsi="宋体" w:cs="宋体"/>
                <w:color w:val="333333"/>
                <w:kern w:val="0"/>
                <w:szCs w:val="24"/>
              </w:rPr>
            </w:pPr>
            <w:r>
              <w:rPr>
                <w:rFonts w:hint="eastAsia" w:ascii="宋体" w:hAnsi="宋体" w:cs="宋体"/>
                <w:color w:val="333333"/>
                <w:kern w:val="0"/>
                <w:szCs w:val="24"/>
              </w:rPr>
              <w:t>电子信息工程：</w:t>
            </w:r>
            <w:r>
              <w:rPr>
                <w:rFonts w:ascii="宋体" w:hAnsi="宋体" w:cs="宋体"/>
                <w:color w:val="333333"/>
                <w:kern w:val="0"/>
                <w:szCs w:val="24"/>
              </w:rPr>
              <w:t>134</w:t>
            </w:r>
            <w:r>
              <w:rPr>
                <w:rFonts w:hint="eastAsia" w:ascii="宋体" w:hAnsi="宋体" w:cs="宋体"/>
                <w:color w:val="333333"/>
                <w:kern w:val="0"/>
                <w:szCs w:val="24"/>
              </w:rPr>
              <w:t>人</w:t>
            </w:r>
          </w:p>
          <w:p>
            <w:pPr>
              <w:widowControl/>
              <w:ind w:left="480" w:leftChars="200" w:firstLine="0" w:firstLineChars="0"/>
              <w:rPr>
                <w:rFonts w:ascii="宋体" w:hAnsi="宋体" w:cs="宋体"/>
                <w:color w:val="333333"/>
                <w:kern w:val="0"/>
                <w:szCs w:val="24"/>
              </w:rPr>
            </w:pPr>
            <w:r>
              <w:rPr>
                <w:rFonts w:hint="eastAsia" w:ascii="宋体" w:hAnsi="宋体" w:cs="宋体"/>
                <w:color w:val="333333"/>
                <w:kern w:val="0"/>
                <w:szCs w:val="24"/>
              </w:rPr>
              <w:t>电气工程与智能控制：</w:t>
            </w:r>
            <w:r>
              <w:rPr>
                <w:rFonts w:ascii="宋体" w:hAnsi="宋体" w:cs="宋体"/>
                <w:color w:val="333333"/>
                <w:kern w:val="0"/>
                <w:szCs w:val="24"/>
              </w:rPr>
              <w:t>122</w:t>
            </w:r>
            <w:r>
              <w:rPr>
                <w:rFonts w:hint="eastAsia" w:ascii="宋体" w:hAnsi="宋体" w:cs="宋体"/>
                <w:color w:val="333333"/>
                <w:kern w:val="0"/>
                <w:szCs w:val="24"/>
              </w:rPr>
              <w:t>人</w:t>
            </w:r>
          </w:p>
          <w:p>
            <w:pPr>
              <w:widowControl/>
              <w:ind w:firstLine="480"/>
              <w:rPr>
                <w:rFonts w:ascii="宋体" w:hAnsi="宋体" w:cs="宋体"/>
                <w:color w:val="333333"/>
                <w:kern w:val="0"/>
                <w:szCs w:val="24"/>
              </w:rPr>
            </w:pPr>
            <w:r>
              <w:rPr>
                <w:rFonts w:hint="eastAsia" w:ascii="宋体" w:hAnsi="宋体" w:cs="宋体"/>
                <w:color w:val="333333"/>
                <w:kern w:val="0"/>
                <w:szCs w:val="24"/>
              </w:rPr>
              <w:t>茅班：2</w:t>
            </w:r>
            <w:r>
              <w:rPr>
                <w:rFonts w:ascii="宋体" w:hAnsi="宋体" w:cs="宋体"/>
                <w:color w:val="333333"/>
                <w:kern w:val="0"/>
                <w:szCs w:val="24"/>
              </w:rPr>
              <w:t>7</w:t>
            </w:r>
            <w:r>
              <w:rPr>
                <w:rFonts w:hint="eastAsia" w:ascii="宋体" w:hAnsi="宋体" w:cs="宋体"/>
                <w:color w:val="333333"/>
                <w:kern w:val="0"/>
                <w:szCs w:val="24"/>
              </w:rPr>
              <w:t>人</w:t>
            </w:r>
          </w:p>
        </w:tc>
        <w:tc>
          <w:tcPr>
            <w:tcW w:w="1648" w:type="dxa"/>
            <w:shd w:val="clear" w:color="auto" w:fill="FFFFFF"/>
          </w:tcPr>
          <w:p>
            <w:pPr>
              <w:widowControl/>
              <w:ind w:firstLine="480"/>
              <w:rPr>
                <w:rFonts w:ascii="宋体" w:hAnsi="宋体" w:cs="宋体"/>
                <w:color w:val="333333"/>
                <w:kern w:val="0"/>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1268" w:hRule="atLeast"/>
          <w:jc w:val="center"/>
        </w:trPr>
        <w:tc>
          <w:tcPr>
            <w:tcW w:w="1897" w:type="dxa"/>
            <w:shd w:val="clear" w:color="auto" w:fill="FFFFFF"/>
            <w:vAlign w:val="center"/>
          </w:tcPr>
          <w:p>
            <w:pPr>
              <w:widowControl/>
              <w:ind w:firstLine="480"/>
              <w:rPr>
                <w:rFonts w:ascii="宋体" w:hAnsi="宋体" w:cs="宋体"/>
                <w:color w:val="333333"/>
                <w:kern w:val="0"/>
                <w:szCs w:val="24"/>
              </w:rPr>
            </w:pPr>
            <w:r>
              <w:rPr>
                <w:rFonts w:hint="eastAsia" w:ascii="宋体" w:hAnsi="宋体" w:cs="宋体"/>
                <w:color w:val="333333"/>
                <w:kern w:val="0"/>
                <w:szCs w:val="24"/>
              </w:rPr>
              <w:t>20</w:t>
            </w:r>
            <w:r>
              <w:rPr>
                <w:rFonts w:ascii="宋体" w:hAnsi="宋体" w:cs="宋体"/>
                <w:color w:val="333333"/>
                <w:kern w:val="0"/>
                <w:szCs w:val="24"/>
              </w:rPr>
              <w:t>20</w:t>
            </w:r>
            <w:r>
              <w:rPr>
                <w:rFonts w:hint="eastAsia" w:ascii="宋体" w:hAnsi="宋体" w:cs="宋体"/>
                <w:color w:val="333333"/>
                <w:kern w:val="0"/>
                <w:szCs w:val="24"/>
              </w:rPr>
              <w:t>级</w:t>
            </w:r>
          </w:p>
          <w:p>
            <w:pPr>
              <w:widowControl/>
              <w:ind w:firstLine="480"/>
              <w:jc w:val="center"/>
              <w:rPr>
                <w:rFonts w:ascii="宋体" w:hAnsi="宋体" w:cs="宋体"/>
                <w:color w:val="333333"/>
                <w:kern w:val="0"/>
                <w:szCs w:val="24"/>
              </w:rPr>
            </w:pPr>
            <w:r>
              <w:rPr>
                <w:rFonts w:hint="eastAsia" w:ascii="宋体" w:hAnsi="宋体" w:cs="宋体"/>
                <w:color w:val="333333"/>
                <w:kern w:val="0"/>
                <w:szCs w:val="24"/>
              </w:rPr>
              <w:t>（</w:t>
            </w:r>
            <w:r>
              <w:rPr>
                <w:rFonts w:ascii="宋体" w:hAnsi="宋体" w:cs="宋体"/>
                <w:color w:val="333333"/>
                <w:kern w:val="0"/>
                <w:szCs w:val="24"/>
              </w:rPr>
              <w:t>584</w:t>
            </w:r>
            <w:r>
              <w:rPr>
                <w:rFonts w:hint="eastAsia" w:ascii="宋体" w:hAnsi="宋体" w:cs="宋体"/>
                <w:color w:val="333333"/>
                <w:kern w:val="0"/>
                <w:szCs w:val="24"/>
              </w:rPr>
              <w:t>人）</w:t>
            </w:r>
          </w:p>
        </w:tc>
        <w:tc>
          <w:tcPr>
            <w:tcW w:w="4771" w:type="dxa"/>
            <w:shd w:val="clear" w:color="auto" w:fill="FFFFFF"/>
            <w:vAlign w:val="center"/>
          </w:tcPr>
          <w:p>
            <w:pPr>
              <w:widowControl/>
              <w:ind w:firstLine="480"/>
              <w:rPr>
                <w:rFonts w:ascii="宋体" w:hAnsi="宋体" w:cs="宋体"/>
                <w:color w:val="333333"/>
                <w:kern w:val="0"/>
                <w:szCs w:val="24"/>
              </w:rPr>
            </w:pPr>
            <w:r>
              <w:rPr>
                <w:rFonts w:hint="eastAsia" w:ascii="宋体" w:hAnsi="宋体" w:cs="宋体"/>
                <w:color w:val="333333"/>
                <w:kern w:val="0"/>
                <w:szCs w:val="24"/>
              </w:rPr>
              <w:t>电气工程及其自动化：</w:t>
            </w:r>
            <w:r>
              <w:rPr>
                <w:rFonts w:ascii="宋体" w:hAnsi="宋体" w:cs="宋体"/>
                <w:color w:val="333333"/>
                <w:kern w:val="0"/>
                <w:szCs w:val="24"/>
              </w:rPr>
              <w:t>320</w:t>
            </w:r>
            <w:r>
              <w:rPr>
                <w:rFonts w:hint="eastAsia" w:ascii="宋体" w:hAnsi="宋体" w:cs="宋体"/>
                <w:color w:val="333333"/>
                <w:kern w:val="0"/>
                <w:szCs w:val="24"/>
              </w:rPr>
              <w:t>人</w:t>
            </w:r>
          </w:p>
          <w:p>
            <w:pPr>
              <w:widowControl/>
              <w:ind w:firstLine="480"/>
              <w:rPr>
                <w:rFonts w:ascii="宋体" w:hAnsi="宋体" w:cs="宋体"/>
                <w:color w:val="333333"/>
                <w:kern w:val="0"/>
                <w:szCs w:val="24"/>
              </w:rPr>
            </w:pPr>
            <w:r>
              <w:rPr>
                <w:rFonts w:hint="eastAsia" w:ascii="宋体" w:hAnsi="宋体" w:cs="宋体"/>
                <w:color w:val="333333"/>
                <w:kern w:val="0"/>
                <w:szCs w:val="24"/>
              </w:rPr>
              <w:t>电子信息工程：</w:t>
            </w:r>
            <w:r>
              <w:rPr>
                <w:rFonts w:ascii="宋体" w:hAnsi="宋体" w:cs="宋体"/>
                <w:color w:val="333333"/>
                <w:kern w:val="0"/>
                <w:szCs w:val="24"/>
              </w:rPr>
              <w:t>118</w:t>
            </w:r>
            <w:r>
              <w:rPr>
                <w:rFonts w:hint="eastAsia" w:ascii="宋体" w:hAnsi="宋体" w:cs="宋体"/>
                <w:color w:val="333333"/>
                <w:kern w:val="0"/>
                <w:szCs w:val="24"/>
              </w:rPr>
              <w:t>人</w:t>
            </w:r>
          </w:p>
          <w:p>
            <w:pPr>
              <w:widowControl/>
              <w:ind w:firstLine="480"/>
              <w:rPr>
                <w:rFonts w:ascii="宋体" w:hAnsi="宋体" w:cs="宋体"/>
                <w:color w:val="333333"/>
                <w:kern w:val="0"/>
                <w:szCs w:val="24"/>
              </w:rPr>
            </w:pPr>
            <w:r>
              <w:rPr>
                <w:rFonts w:hint="eastAsia" w:ascii="宋体" w:hAnsi="宋体" w:cs="宋体"/>
                <w:color w:val="333333"/>
                <w:kern w:val="0"/>
                <w:szCs w:val="24"/>
              </w:rPr>
              <w:t>电气工程与智能控制：1</w:t>
            </w:r>
            <w:r>
              <w:rPr>
                <w:rFonts w:ascii="宋体" w:hAnsi="宋体" w:cs="宋体"/>
                <w:color w:val="333333"/>
                <w:kern w:val="0"/>
                <w:szCs w:val="24"/>
              </w:rPr>
              <w:t>16</w:t>
            </w:r>
            <w:r>
              <w:rPr>
                <w:rFonts w:hint="eastAsia" w:ascii="宋体" w:hAnsi="宋体" w:cs="宋体"/>
                <w:color w:val="333333"/>
                <w:kern w:val="0"/>
                <w:szCs w:val="24"/>
              </w:rPr>
              <w:t>人</w:t>
            </w:r>
          </w:p>
          <w:p>
            <w:pPr>
              <w:widowControl/>
              <w:ind w:firstLine="480"/>
              <w:rPr>
                <w:rFonts w:ascii="宋体" w:hAnsi="宋体" w:cs="宋体"/>
                <w:color w:val="333333"/>
                <w:kern w:val="0"/>
                <w:szCs w:val="24"/>
              </w:rPr>
            </w:pPr>
            <w:r>
              <w:rPr>
                <w:rFonts w:hint="eastAsia" w:ascii="宋体" w:hAnsi="宋体" w:cs="宋体"/>
                <w:color w:val="333333"/>
                <w:kern w:val="0"/>
                <w:szCs w:val="24"/>
              </w:rPr>
              <w:t>茅班：3</w:t>
            </w:r>
            <w:r>
              <w:rPr>
                <w:rFonts w:ascii="宋体" w:hAnsi="宋体" w:cs="宋体"/>
                <w:color w:val="333333"/>
                <w:kern w:val="0"/>
                <w:szCs w:val="24"/>
              </w:rPr>
              <w:t>0</w:t>
            </w:r>
            <w:r>
              <w:rPr>
                <w:rFonts w:hint="eastAsia" w:ascii="宋体" w:hAnsi="宋体" w:cs="宋体"/>
                <w:color w:val="333333"/>
                <w:kern w:val="0"/>
                <w:szCs w:val="24"/>
              </w:rPr>
              <w:t>人</w:t>
            </w:r>
          </w:p>
        </w:tc>
        <w:tc>
          <w:tcPr>
            <w:tcW w:w="1648" w:type="dxa"/>
            <w:shd w:val="clear" w:color="auto" w:fill="FFFFFF"/>
          </w:tcPr>
          <w:p>
            <w:pPr>
              <w:widowControl/>
              <w:ind w:firstLine="480"/>
              <w:rPr>
                <w:rFonts w:ascii="宋体" w:hAnsi="宋体" w:cs="宋体"/>
                <w:color w:val="333333"/>
                <w:kern w:val="0"/>
                <w:szCs w:val="24"/>
              </w:rPr>
            </w:pPr>
          </w:p>
        </w:tc>
      </w:tr>
    </w:tbl>
    <w:p>
      <w:pPr>
        <w:widowControl/>
        <w:spacing w:after="163" w:afterLines="50" w:line="240" w:lineRule="auto"/>
        <w:ind w:firstLine="0" w:firstLineChars="0"/>
        <w:jc w:val="left"/>
        <w:rPr>
          <w:rFonts w:hint="eastAsia" w:ascii="宋体" w:hAnsi="宋体"/>
          <w:b/>
          <w:color w:val="333333"/>
          <w:sz w:val="28"/>
          <w:szCs w:val="24"/>
        </w:rPr>
      </w:pPr>
    </w:p>
    <w:p>
      <w:pPr>
        <w:widowControl/>
        <w:spacing w:after="163" w:afterLines="50" w:line="240" w:lineRule="auto"/>
        <w:ind w:firstLine="0" w:firstLineChars="0"/>
        <w:jc w:val="left"/>
        <w:rPr>
          <w:rFonts w:ascii="宋体" w:hAnsi="宋体"/>
          <w:b/>
          <w:color w:val="333333"/>
          <w:sz w:val="28"/>
          <w:szCs w:val="24"/>
        </w:rPr>
      </w:pPr>
      <w:r>
        <w:rPr>
          <w:rFonts w:hint="eastAsia" w:ascii="宋体" w:hAnsi="宋体"/>
          <w:b/>
          <w:color w:val="333333"/>
          <w:sz w:val="28"/>
          <w:szCs w:val="24"/>
        </w:rPr>
        <w:t>20</w:t>
      </w:r>
      <w:r>
        <w:rPr>
          <w:rFonts w:ascii="宋体" w:hAnsi="宋体"/>
          <w:b/>
          <w:color w:val="333333"/>
          <w:sz w:val="28"/>
          <w:szCs w:val="24"/>
        </w:rPr>
        <w:t>20</w:t>
      </w:r>
      <w:r>
        <w:rPr>
          <w:rFonts w:hint="eastAsia" w:ascii="宋体" w:hAnsi="宋体"/>
          <w:b/>
          <w:color w:val="333333"/>
          <w:sz w:val="28"/>
          <w:szCs w:val="24"/>
        </w:rPr>
        <w:t>-202</w:t>
      </w:r>
      <w:r>
        <w:rPr>
          <w:rFonts w:ascii="宋体" w:hAnsi="宋体"/>
          <w:b/>
          <w:color w:val="333333"/>
          <w:sz w:val="28"/>
          <w:szCs w:val="24"/>
        </w:rPr>
        <w:t>1</w:t>
      </w:r>
      <w:r>
        <w:rPr>
          <w:rFonts w:hint="eastAsia" w:ascii="宋体" w:hAnsi="宋体"/>
          <w:b/>
          <w:color w:val="333333"/>
          <w:sz w:val="28"/>
          <w:szCs w:val="24"/>
        </w:rPr>
        <w:t>学年</w:t>
      </w:r>
      <w:r>
        <w:rPr>
          <w:rStyle w:val="9"/>
          <w:rFonts w:hint="eastAsia" w:ascii="宋体" w:hAnsi="宋体"/>
          <w:color w:val="333333"/>
          <w:sz w:val="28"/>
          <w:szCs w:val="24"/>
        </w:rPr>
        <w:t>学院专项奖助学金</w:t>
      </w:r>
      <w:r>
        <w:rPr>
          <w:rFonts w:hint="eastAsia" w:ascii="宋体" w:hAnsi="宋体"/>
          <w:b/>
          <w:color w:val="333333"/>
          <w:sz w:val="28"/>
          <w:szCs w:val="24"/>
        </w:rPr>
        <w:t>评选项目：</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3190"/>
        <w:gridCol w:w="1947"/>
        <w:gridCol w:w="1667"/>
        <w:gridCol w:w="22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pPr>
              <w:widowControl/>
              <w:spacing w:line="240" w:lineRule="auto"/>
              <w:ind w:firstLine="0" w:firstLineChars="0"/>
              <w:jc w:val="center"/>
              <w:rPr>
                <w:rFonts w:ascii="宋体" w:hAnsi="宋体"/>
                <w:b/>
                <w:w w:val="98"/>
                <w:szCs w:val="24"/>
              </w:rPr>
            </w:pPr>
            <w:r>
              <w:rPr>
                <w:rFonts w:hint="eastAsia" w:ascii="宋体" w:hAnsi="宋体"/>
                <w:b/>
                <w:w w:val="98"/>
                <w:szCs w:val="24"/>
              </w:rPr>
              <w:t>序号</w:t>
            </w:r>
          </w:p>
        </w:tc>
        <w:tc>
          <w:tcPr>
            <w:tcW w:w="3190" w:type="dxa"/>
          </w:tcPr>
          <w:p>
            <w:pPr>
              <w:widowControl/>
              <w:spacing w:line="240" w:lineRule="auto"/>
              <w:ind w:firstLine="0" w:firstLineChars="0"/>
              <w:jc w:val="center"/>
              <w:rPr>
                <w:rFonts w:ascii="宋体" w:hAnsi="宋体"/>
                <w:b/>
                <w:w w:val="98"/>
                <w:szCs w:val="24"/>
              </w:rPr>
            </w:pPr>
            <w:r>
              <w:rPr>
                <w:rFonts w:hint="eastAsia" w:ascii="宋体" w:hAnsi="宋体"/>
                <w:b/>
                <w:w w:val="98"/>
                <w:szCs w:val="24"/>
              </w:rPr>
              <w:t>奖项名称</w:t>
            </w:r>
          </w:p>
        </w:tc>
        <w:tc>
          <w:tcPr>
            <w:tcW w:w="1947" w:type="dxa"/>
          </w:tcPr>
          <w:p>
            <w:pPr>
              <w:widowControl/>
              <w:spacing w:line="240" w:lineRule="auto"/>
              <w:ind w:firstLine="0" w:firstLineChars="0"/>
              <w:jc w:val="center"/>
              <w:rPr>
                <w:rFonts w:ascii="宋体" w:hAnsi="宋体"/>
                <w:b/>
                <w:w w:val="98"/>
                <w:szCs w:val="24"/>
              </w:rPr>
            </w:pPr>
            <w:r>
              <w:rPr>
                <w:rFonts w:hint="eastAsia" w:ascii="宋体" w:hAnsi="宋体"/>
                <w:b/>
                <w:w w:val="98"/>
                <w:szCs w:val="24"/>
              </w:rPr>
              <w:t>奖励人数</w:t>
            </w:r>
          </w:p>
        </w:tc>
        <w:tc>
          <w:tcPr>
            <w:tcW w:w="1667" w:type="dxa"/>
          </w:tcPr>
          <w:p>
            <w:pPr>
              <w:widowControl/>
              <w:spacing w:line="240" w:lineRule="auto"/>
              <w:ind w:firstLine="0" w:firstLineChars="0"/>
              <w:jc w:val="center"/>
              <w:rPr>
                <w:rFonts w:ascii="宋体" w:hAnsi="宋体"/>
                <w:b/>
                <w:w w:val="98"/>
                <w:szCs w:val="24"/>
              </w:rPr>
            </w:pPr>
            <w:r>
              <w:rPr>
                <w:rFonts w:hint="eastAsia" w:ascii="宋体" w:hAnsi="宋体"/>
                <w:b/>
                <w:w w:val="98"/>
                <w:szCs w:val="24"/>
              </w:rPr>
              <w:t>奖项类别</w:t>
            </w:r>
          </w:p>
        </w:tc>
        <w:tc>
          <w:tcPr>
            <w:tcW w:w="2228" w:type="dxa"/>
          </w:tcPr>
          <w:p>
            <w:pPr>
              <w:widowControl/>
              <w:spacing w:line="240" w:lineRule="auto"/>
              <w:ind w:firstLine="0" w:firstLineChars="0"/>
              <w:jc w:val="center"/>
              <w:rPr>
                <w:rFonts w:ascii="宋体" w:hAnsi="宋体"/>
                <w:b/>
                <w:w w:val="98"/>
                <w:szCs w:val="24"/>
              </w:rPr>
            </w:pPr>
            <w:r>
              <w:rPr>
                <w:rFonts w:hint="eastAsia" w:ascii="宋体" w:hAnsi="宋体"/>
                <w:b/>
                <w:w w:val="98"/>
                <w:szCs w:val="24"/>
              </w:rPr>
              <w:t>奖励金额/人（本）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pPr>
              <w:widowControl/>
              <w:spacing w:line="240" w:lineRule="auto"/>
              <w:ind w:firstLine="0" w:firstLineChars="0"/>
              <w:jc w:val="center"/>
              <w:rPr>
                <w:rFonts w:ascii="宋体" w:hAnsi="宋体" w:cs="宋体"/>
                <w:color w:val="333333"/>
                <w:kern w:val="0"/>
                <w:szCs w:val="24"/>
              </w:rPr>
            </w:pPr>
            <w:r>
              <w:rPr>
                <w:rFonts w:ascii="宋体" w:hAnsi="宋体" w:cs="宋体"/>
                <w:color w:val="333333"/>
                <w:kern w:val="0"/>
                <w:szCs w:val="24"/>
              </w:rPr>
              <w:t>1</w:t>
            </w:r>
          </w:p>
        </w:tc>
        <w:tc>
          <w:tcPr>
            <w:tcW w:w="3190" w:type="dxa"/>
          </w:tcPr>
          <w:p>
            <w:pPr>
              <w:widowControl/>
              <w:spacing w:line="240" w:lineRule="auto"/>
              <w:ind w:firstLine="0" w:firstLineChars="0"/>
              <w:jc w:val="center"/>
              <w:rPr>
                <w:rFonts w:ascii="宋体" w:hAnsi="宋体" w:cs="宋体"/>
                <w:color w:val="333333"/>
                <w:kern w:val="0"/>
                <w:szCs w:val="24"/>
              </w:rPr>
            </w:pPr>
            <w:r>
              <w:rPr>
                <w:rFonts w:hint="eastAsia" w:ascii="宋体" w:hAnsi="宋体" w:cs="宋体"/>
                <w:color w:val="333333"/>
                <w:kern w:val="0"/>
                <w:szCs w:val="24"/>
              </w:rPr>
              <w:t>开马绿能奖学金</w:t>
            </w:r>
          </w:p>
        </w:tc>
        <w:tc>
          <w:tcPr>
            <w:tcW w:w="1947" w:type="dxa"/>
          </w:tcPr>
          <w:p>
            <w:pPr>
              <w:widowControl/>
              <w:spacing w:line="240" w:lineRule="auto"/>
              <w:ind w:firstLine="0" w:firstLineChars="0"/>
              <w:jc w:val="center"/>
              <w:rPr>
                <w:rFonts w:ascii="宋体" w:hAnsi="宋体" w:cs="宋体"/>
                <w:color w:val="333333"/>
                <w:kern w:val="0"/>
                <w:szCs w:val="24"/>
              </w:rPr>
            </w:pPr>
            <w:r>
              <w:rPr>
                <w:rFonts w:hint="eastAsia" w:ascii="宋体" w:hAnsi="宋体" w:cs="宋体"/>
                <w:color w:val="333333"/>
                <w:kern w:val="0"/>
                <w:szCs w:val="24"/>
              </w:rPr>
              <w:t>1</w:t>
            </w:r>
            <w:r>
              <w:rPr>
                <w:rFonts w:ascii="宋体" w:hAnsi="宋体" w:cs="宋体"/>
                <w:color w:val="333333"/>
                <w:kern w:val="0"/>
                <w:szCs w:val="24"/>
              </w:rPr>
              <w:t>5</w:t>
            </w:r>
          </w:p>
        </w:tc>
        <w:tc>
          <w:tcPr>
            <w:tcW w:w="1667" w:type="dxa"/>
          </w:tcPr>
          <w:p>
            <w:pPr>
              <w:widowControl/>
              <w:spacing w:line="240" w:lineRule="auto"/>
              <w:ind w:firstLine="0" w:firstLineChars="0"/>
              <w:jc w:val="center"/>
              <w:rPr>
                <w:rFonts w:ascii="宋体" w:hAnsi="宋体" w:cs="宋体"/>
                <w:color w:val="333333"/>
                <w:kern w:val="0"/>
                <w:szCs w:val="24"/>
              </w:rPr>
            </w:pPr>
            <w:r>
              <w:rPr>
                <w:rFonts w:hint="eastAsia" w:ascii="宋体" w:hAnsi="宋体" w:cs="宋体"/>
                <w:color w:val="333333"/>
                <w:kern w:val="0"/>
                <w:szCs w:val="24"/>
              </w:rPr>
              <w:t>奖</w:t>
            </w:r>
          </w:p>
        </w:tc>
        <w:tc>
          <w:tcPr>
            <w:tcW w:w="2228" w:type="dxa"/>
          </w:tcPr>
          <w:p>
            <w:pPr>
              <w:widowControl/>
              <w:spacing w:line="240" w:lineRule="auto"/>
              <w:ind w:firstLine="0" w:firstLineChars="0"/>
              <w:jc w:val="center"/>
              <w:rPr>
                <w:rFonts w:ascii="宋体" w:hAnsi="宋体" w:cs="宋体"/>
                <w:color w:val="333333"/>
                <w:kern w:val="0"/>
                <w:szCs w:val="24"/>
              </w:rPr>
            </w:pPr>
            <w:r>
              <w:rPr>
                <w:rFonts w:hint="eastAsia" w:ascii="宋体" w:hAnsi="宋体" w:cs="宋体"/>
                <w:color w:val="333333"/>
                <w:kern w:val="0"/>
                <w:szCs w:val="24"/>
              </w:rPr>
              <w:t>5</w:t>
            </w:r>
            <w:r>
              <w:rPr>
                <w:rFonts w:ascii="宋体" w:hAnsi="宋体" w:cs="宋体"/>
                <w:color w:val="333333"/>
                <w:kern w:val="0"/>
                <w:szCs w:val="24"/>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pPr>
              <w:widowControl/>
              <w:spacing w:line="240" w:lineRule="auto"/>
              <w:ind w:firstLine="0" w:firstLineChars="0"/>
              <w:jc w:val="center"/>
              <w:rPr>
                <w:rFonts w:ascii="宋体" w:hAnsi="宋体" w:cs="宋体"/>
                <w:color w:val="333333"/>
                <w:kern w:val="0"/>
                <w:szCs w:val="24"/>
              </w:rPr>
            </w:pPr>
            <w:r>
              <w:rPr>
                <w:rFonts w:hint="eastAsia" w:ascii="宋体" w:hAnsi="宋体" w:cs="宋体"/>
                <w:color w:val="333333"/>
                <w:kern w:val="0"/>
                <w:szCs w:val="24"/>
              </w:rPr>
              <w:t>2</w:t>
            </w:r>
          </w:p>
        </w:tc>
        <w:tc>
          <w:tcPr>
            <w:tcW w:w="3190" w:type="dxa"/>
          </w:tcPr>
          <w:p>
            <w:pPr>
              <w:widowControl/>
              <w:spacing w:line="240" w:lineRule="auto"/>
              <w:ind w:firstLine="0" w:firstLineChars="0"/>
              <w:jc w:val="center"/>
              <w:rPr>
                <w:rFonts w:ascii="宋体" w:hAnsi="宋体" w:cs="宋体"/>
                <w:color w:val="333333"/>
                <w:kern w:val="0"/>
                <w:szCs w:val="24"/>
              </w:rPr>
            </w:pPr>
            <w:r>
              <w:rPr>
                <w:rFonts w:hint="eastAsia" w:ascii="宋体" w:hAnsi="宋体" w:cs="宋体"/>
                <w:color w:val="333333"/>
                <w:kern w:val="0"/>
                <w:szCs w:val="24"/>
              </w:rPr>
              <w:t>0</w:t>
            </w:r>
            <w:r>
              <w:rPr>
                <w:rFonts w:ascii="宋体" w:hAnsi="宋体" w:cs="宋体"/>
                <w:color w:val="333333"/>
                <w:kern w:val="0"/>
                <w:szCs w:val="24"/>
              </w:rPr>
              <w:t>7</w:t>
            </w:r>
            <w:r>
              <w:rPr>
                <w:rFonts w:hint="eastAsia" w:ascii="宋体" w:hAnsi="宋体" w:cs="宋体"/>
                <w:color w:val="333333"/>
                <w:kern w:val="0"/>
                <w:szCs w:val="24"/>
              </w:rPr>
              <w:t>茅电凌睿助学金</w:t>
            </w:r>
          </w:p>
        </w:tc>
        <w:tc>
          <w:tcPr>
            <w:tcW w:w="1947" w:type="dxa"/>
          </w:tcPr>
          <w:p>
            <w:pPr>
              <w:widowControl/>
              <w:spacing w:line="240" w:lineRule="auto"/>
              <w:ind w:firstLine="0" w:firstLineChars="0"/>
              <w:jc w:val="center"/>
              <w:rPr>
                <w:rFonts w:ascii="宋体" w:hAnsi="宋体" w:cs="宋体"/>
                <w:color w:val="333333"/>
                <w:kern w:val="0"/>
                <w:szCs w:val="24"/>
              </w:rPr>
            </w:pPr>
            <w:r>
              <w:rPr>
                <w:rFonts w:hint="eastAsia" w:ascii="宋体" w:hAnsi="宋体" w:cs="宋体"/>
                <w:color w:val="333333"/>
                <w:kern w:val="0"/>
                <w:szCs w:val="24"/>
              </w:rPr>
              <w:t>4</w:t>
            </w:r>
          </w:p>
        </w:tc>
        <w:tc>
          <w:tcPr>
            <w:tcW w:w="1667" w:type="dxa"/>
          </w:tcPr>
          <w:p>
            <w:pPr>
              <w:widowControl/>
              <w:spacing w:line="240" w:lineRule="auto"/>
              <w:ind w:firstLine="0" w:firstLineChars="0"/>
              <w:jc w:val="center"/>
              <w:rPr>
                <w:rFonts w:ascii="宋体" w:hAnsi="宋体" w:cs="宋体"/>
                <w:color w:val="333333"/>
                <w:kern w:val="0"/>
                <w:szCs w:val="24"/>
              </w:rPr>
            </w:pPr>
            <w:r>
              <w:rPr>
                <w:rFonts w:hint="eastAsia" w:ascii="宋体" w:hAnsi="宋体" w:cs="宋体"/>
                <w:color w:val="333333"/>
                <w:kern w:val="0"/>
                <w:szCs w:val="24"/>
              </w:rPr>
              <w:t>助</w:t>
            </w:r>
          </w:p>
        </w:tc>
        <w:tc>
          <w:tcPr>
            <w:tcW w:w="2228" w:type="dxa"/>
          </w:tcPr>
          <w:p>
            <w:pPr>
              <w:widowControl/>
              <w:spacing w:line="240" w:lineRule="auto"/>
              <w:ind w:firstLine="0" w:firstLineChars="0"/>
              <w:jc w:val="center"/>
              <w:rPr>
                <w:rFonts w:ascii="宋体" w:hAnsi="宋体" w:cs="宋体"/>
                <w:color w:val="333333"/>
                <w:kern w:val="0"/>
                <w:szCs w:val="24"/>
              </w:rPr>
            </w:pPr>
            <w:r>
              <w:rPr>
                <w:rFonts w:hint="eastAsia" w:ascii="宋体" w:hAnsi="宋体" w:cs="宋体"/>
                <w:color w:val="333333"/>
                <w:kern w:val="0"/>
                <w:szCs w:val="24"/>
              </w:rPr>
              <w:t>2</w:t>
            </w:r>
            <w:r>
              <w:rPr>
                <w:rFonts w:ascii="宋体" w:hAnsi="宋体" w:cs="宋体"/>
                <w:color w:val="333333"/>
                <w:kern w:val="0"/>
                <w:szCs w:val="24"/>
              </w:rPr>
              <w:t>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pPr>
              <w:widowControl/>
              <w:spacing w:line="240" w:lineRule="auto"/>
              <w:ind w:firstLine="0" w:firstLineChars="0"/>
              <w:jc w:val="center"/>
              <w:rPr>
                <w:rFonts w:ascii="宋体" w:hAnsi="宋体" w:cs="宋体"/>
                <w:color w:val="333333"/>
                <w:kern w:val="0"/>
                <w:szCs w:val="24"/>
              </w:rPr>
            </w:pPr>
            <w:r>
              <w:rPr>
                <w:rFonts w:hint="eastAsia" w:ascii="宋体" w:hAnsi="宋体" w:cs="宋体"/>
                <w:color w:val="333333"/>
                <w:kern w:val="0"/>
                <w:szCs w:val="24"/>
              </w:rPr>
              <w:t>3</w:t>
            </w:r>
          </w:p>
        </w:tc>
        <w:tc>
          <w:tcPr>
            <w:tcW w:w="3190" w:type="dxa"/>
          </w:tcPr>
          <w:p>
            <w:pPr>
              <w:widowControl/>
              <w:spacing w:line="240" w:lineRule="auto"/>
              <w:ind w:firstLine="0" w:firstLineChars="0"/>
              <w:jc w:val="center"/>
              <w:rPr>
                <w:rFonts w:ascii="宋体" w:hAnsi="宋体" w:cs="宋体"/>
                <w:color w:val="333333"/>
                <w:kern w:val="0"/>
                <w:szCs w:val="24"/>
              </w:rPr>
            </w:pPr>
            <w:r>
              <w:rPr>
                <w:rFonts w:hint="eastAsia" w:ascii="宋体" w:hAnsi="宋体" w:cs="宋体"/>
                <w:color w:val="333333"/>
                <w:kern w:val="0"/>
                <w:szCs w:val="24"/>
              </w:rPr>
              <w:t>“星空计划”专项奖学金</w:t>
            </w:r>
          </w:p>
        </w:tc>
        <w:tc>
          <w:tcPr>
            <w:tcW w:w="1947" w:type="dxa"/>
          </w:tcPr>
          <w:p>
            <w:pPr>
              <w:widowControl/>
              <w:spacing w:line="240" w:lineRule="auto"/>
              <w:ind w:firstLine="0" w:firstLineChars="0"/>
              <w:jc w:val="center"/>
              <w:rPr>
                <w:rFonts w:ascii="宋体" w:hAnsi="宋体" w:cs="宋体"/>
                <w:color w:val="333333"/>
                <w:kern w:val="0"/>
                <w:szCs w:val="24"/>
              </w:rPr>
            </w:pPr>
            <w:r>
              <w:rPr>
                <w:rFonts w:hint="eastAsia" w:ascii="宋体" w:hAnsi="宋体" w:cs="宋体"/>
                <w:color w:val="333333"/>
                <w:kern w:val="0"/>
                <w:szCs w:val="24"/>
              </w:rPr>
              <w:t>1</w:t>
            </w:r>
            <w:r>
              <w:rPr>
                <w:rFonts w:ascii="宋体" w:hAnsi="宋体" w:cs="宋体"/>
                <w:color w:val="333333"/>
                <w:kern w:val="0"/>
                <w:szCs w:val="24"/>
              </w:rPr>
              <w:t>0</w:t>
            </w:r>
          </w:p>
        </w:tc>
        <w:tc>
          <w:tcPr>
            <w:tcW w:w="1667" w:type="dxa"/>
          </w:tcPr>
          <w:p>
            <w:pPr>
              <w:widowControl/>
              <w:spacing w:line="240" w:lineRule="auto"/>
              <w:ind w:firstLine="0" w:firstLineChars="0"/>
              <w:jc w:val="center"/>
              <w:rPr>
                <w:rFonts w:ascii="宋体" w:hAnsi="宋体" w:cs="宋体"/>
                <w:color w:val="333333"/>
                <w:kern w:val="0"/>
                <w:szCs w:val="24"/>
              </w:rPr>
            </w:pPr>
            <w:r>
              <w:rPr>
                <w:rFonts w:hint="eastAsia" w:ascii="宋体" w:hAnsi="宋体" w:cs="宋体"/>
                <w:color w:val="333333"/>
                <w:kern w:val="0"/>
                <w:szCs w:val="24"/>
              </w:rPr>
              <w:t>奖</w:t>
            </w:r>
          </w:p>
        </w:tc>
        <w:tc>
          <w:tcPr>
            <w:tcW w:w="2228" w:type="dxa"/>
          </w:tcPr>
          <w:p>
            <w:pPr>
              <w:widowControl/>
              <w:spacing w:line="240" w:lineRule="auto"/>
              <w:ind w:firstLine="0" w:firstLineChars="0"/>
              <w:jc w:val="center"/>
              <w:rPr>
                <w:rFonts w:ascii="宋体" w:hAnsi="宋体" w:cs="宋体"/>
                <w:color w:val="333333"/>
                <w:kern w:val="0"/>
                <w:szCs w:val="24"/>
              </w:rPr>
            </w:pPr>
            <w:r>
              <w:rPr>
                <w:rFonts w:hint="eastAsia" w:ascii="宋体" w:hAnsi="宋体" w:cs="宋体"/>
                <w:color w:val="333333"/>
                <w:kern w:val="0"/>
                <w:szCs w:val="24"/>
              </w:rPr>
              <w:t>3</w:t>
            </w:r>
            <w:r>
              <w:rPr>
                <w:rFonts w:ascii="宋体" w:hAnsi="宋体" w:cs="宋体"/>
                <w:color w:val="333333"/>
                <w:kern w:val="0"/>
                <w:szCs w:val="24"/>
              </w:rPr>
              <w:t>000</w:t>
            </w:r>
          </w:p>
        </w:tc>
      </w:tr>
    </w:tbl>
    <w:p>
      <w:pPr>
        <w:widowControl/>
        <w:spacing w:line="240" w:lineRule="auto"/>
        <w:ind w:firstLine="0" w:firstLineChars="0"/>
        <w:jc w:val="left"/>
      </w:pPr>
      <w:r>
        <w:rPr>
          <w:rFonts w:ascii="宋体" w:hAnsi="宋体"/>
          <w:b/>
          <w:w w:val="98"/>
          <w:szCs w:val="24"/>
        </w:rPr>
        <w:br w:type="page"/>
      </w:r>
      <w:r>
        <w:rPr>
          <w:rFonts w:ascii="宋体" w:hAnsi="宋体"/>
          <w:b/>
          <w:bCs/>
          <w:w w:val="98"/>
          <w:kern w:val="44"/>
          <w:szCs w:val="24"/>
        </w:rPr>
        <w:t xml:space="preserve"> </w:t>
      </w:r>
      <w:bookmarkEnd w:id="0"/>
    </w:p>
    <w:p>
      <w:pPr>
        <w:ind w:firstLine="627"/>
        <w:jc w:val="center"/>
        <w:rPr>
          <w:rFonts w:eastAsia="方正小标宋简体"/>
          <w:bCs/>
          <w:w w:val="98"/>
          <w:kern w:val="44"/>
          <w:sz w:val="32"/>
          <w:szCs w:val="44"/>
        </w:rPr>
      </w:pPr>
      <w:r>
        <w:rPr>
          <w:rFonts w:hint="eastAsia" w:eastAsia="方正小标宋简体"/>
          <w:bCs/>
          <w:w w:val="98"/>
          <w:kern w:val="44"/>
          <w:sz w:val="32"/>
          <w:szCs w:val="44"/>
        </w:rPr>
        <w:t>开马绿能奖学金评定办法</w:t>
      </w:r>
    </w:p>
    <w:p>
      <w:pPr>
        <w:ind w:firstLine="480"/>
        <w:rPr>
          <w:rFonts w:ascii="宋体" w:hAnsi="宋体" w:cs="宋体"/>
          <w:szCs w:val="24"/>
        </w:rPr>
      </w:pPr>
      <w:r>
        <w:rPr>
          <w:rFonts w:hint="eastAsia" w:ascii="宋体" w:hAnsi="宋体" w:cs="宋体"/>
          <w:szCs w:val="24"/>
        </w:rPr>
        <w:t>为支持西南交通大学电气工程学院教育发展事业，鼓励和帮助西南交通大学电气工程学院品学兼优或家庭经济困难的学生，经电气工程学院同意，开马电力科技（上海）有限公司携同江苏新绿能科技有限公司设立“开马绿能奖优助困基金”，并制定本评定办法。</w:t>
      </w:r>
    </w:p>
    <w:p>
      <w:pPr>
        <w:ind w:firstLine="482"/>
        <w:rPr>
          <w:rFonts w:eastAsia="黑体" w:cstheme="majorBidi"/>
          <w:b/>
          <w:bCs/>
          <w:szCs w:val="32"/>
        </w:rPr>
      </w:pPr>
      <w:r>
        <w:rPr>
          <w:rFonts w:hint="eastAsia" w:eastAsia="黑体" w:cstheme="majorBidi"/>
          <w:b/>
          <w:bCs/>
          <w:szCs w:val="32"/>
        </w:rPr>
        <w:t>一、奖励对象</w:t>
      </w:r>
    </w:p>
    <w:p>
      <w:pPr>
        <w:ind w:firstLine="480"/>
        <w:rPr>
          <w:rFonts w:ascii="宋体" w:hAnsi="宋体" w:cs="宋体"/>
          <w:szCs w:val="24"/>
        </w:rPr>
      </w:pPr>
      <w:r>
        <w:rPr>
          <w:rFonts w:hint="eastAsia" w:ascii="宋体" w:hAnsi="宋体" w:cs="宋体"/>
          <w:szCs w:val="24"/>
        </w:rPr>
        <w:t>西南交通大学电气工程学院全日制在读本科生。</w:t>
      </w:r>
    </w:p>
    <w:p>
      <w:pPr>
        <w:ind w:firstLine="482"/>
        <w:rPr>
          <w:rFonts w:eastAsia="黑体" w:cstheme="majorBidi"/>
          <w:b/>
          <w:bCs/>
          <w:szCs w:val="32"/>
        </w:rPr>
      </w:pPr>
      <w:r>
        <w:rPr>
          <w:rFonts w:hint="eastAsia" w:eastAsia="黑体" w:cstheme="majorBidi"/>
          <w:b/>
          <w:bCs/>
          <w:szCs w:val="32"/>
        </w:rPr>
        <w:t>二、奖励人数及金额</w:t>
      </w:r>
    </w:p>
    <w:p>
      <w:pPr>
        <w:ind w:firstLine="480"/>
        <w:rPr>
          <w:rFonts w:ascii="宋体" w:hAnsi="宋体" w:cs="宋体"/>
          <w:szCs w:val="24"/>
        </w:rPr>
      </w:pPr>
      <w:r>
        <w:rPr>
          <w:rFonts w:hint="eastAsia" w:ascii="宋体" w:hAnsi="宋体" w:cs="宋体"/>
          <w:szCs w:val="24"/>
        </w:rPr>
        <w:t>每年评选本科生1</w:t>
      </w:r>
      <w:r>
        <w:rPr>
          <w:rFonts w:ascii="宋体" w:hAnsi="宋体" w:cs="宋体"/>
          <w:szCs w:val="24"/>
        </w:rPr>
        <w:t>5名，每人奖励</w:t>
      </w:r>
      <w:r>
        <w:rPr>
          <w:rFonts w:hint="eastAsia" w:ascii="宋体" w:hAnsi="宋体" w:cs="宋体"/>
          <w:szCs w:val="24"/>
        </w:rPr>
        <w:t>5</w:t>
      </w:r>
      <w:r>
        <w:rPr>
          <w:rFonts w:ascii="宋体" w:hAnsi="宋体" w:cs="宋体"/>
          <w:szCs w:val="24"/>
        </w:rPr>
        <w:t>000元。</w:t>
      </w:r>
    </w:p>
    <w:p>
      <w:pPr>
        <w:ind w:firstLine="482"/>
        <w:rPr>
          <w:rFonts w:eastAsia="黑体" w:cstheme="majorBidi"/>
          <w:b/>
          <w:bCs/>
          <w:szCs w:val="32"/>
        </w:rPr>
      </w:pPr>
      <w:r>
        <w:rPr>
          <w:rFonts w:hint="eastAsia" w:eastAsia="黑体" w:cstheme="majorBidi"/>
          <w:b/>
          <w:bCs/>
          <w:szCs w:val="32"/>
        </w:rPr>
        <w:t>三、评奖条件</w:t>
      </w:r>
    </w:p>
    <w:p>
      <w:pPr>
        <w:ind w:firstLine="480"/>
        <w:rPr>
          <w:rFonts w:ascii="宋体" w:hAnsi="宋体" w:cs="宋体"/>
          <w:szCs w:val="24"/>
        </w:rPr>
      </w:pPr>
      <w:r>
        <w:rPr>
          <w:rFonts w:hint="eastAsia" w:ascii="宋体" w:hAnsi="宋体" w:cs="宋体"/>
          <w:szCs w:val="24"/>
        </w:rPr>
        <w:t>1</w:t>
      </w:r>
      <w:r>
        <w:rPr>
          <w:rFonts w:ascii="宋体" w:hAnsi="宋体" w:cs="宋体"/>
          <w:szCs w:val="24"/>
        </w:rPr>
        <w:t>.</w:t>
      </w:r>
      <w:r>
        <w:rPr>
          <w:rFonts w:hint="eastAsia" w:ascii="宋体" w:hAnsi="宋体" w:cs="宋体"/>
          <w:szCs w:val="24"/>
        </w:rPr>
        <w:t>符合《西南交通大学本科生奖助学金评审管理办法》中的评奖条件；</w:t>
      </w:r>
    </w:p>
    <w:p>
      <w:pPr>
        <w:ind w:firstLine="480"/>
        <w:rPr>
          <w:rFonts w:ascii="宋体" w:hAnsi="宋体" w:cs="宋体"/>
          <w:szCs w:val="24"/>
        </w:rPr>
      </w:pPr>
      <w:r>
        <w:rPr>
          <w:rFonts w:hint="eastAsia" w:ascii="宋体" w:hAnsi="宋体" w:cs="宋体"/>
          <w:szCs w:val="24"/>
        </w:rPr>
        <w:t>2</w:t>
      </w:r>
      <w:r>
        <w:rPr>
          <w:rFonts w:ascii="宋体" w:hAnsi="宋体" w:cs="宋体"/>
          <w:szCs w:val="24"/>
        </w:rPr>
        <w:t>.具有坚定正确的政治方向，坚持党的路线、方针、政策，热爱祖国，品行端正、社会责任感强</w:t>
      </w:r>
      <w:r>
        <w:rPr>
          <w:rFonts w:hint="eastAsia" w:ascii="宋体" w:hAnsi="宋体" w:cs="宋体"/>
          <w:szCs w:val="24"/>
        </w:rPr>
        <w:t>；</w:t>
      </w:r>
    </w:p>
    <w:p>
      <w:pPr>
        <w:ind w:firstLine="480"/>
        <w:rPr>
          <w:rFonts w:ascii="宋体" w:hAnsi="宋体" w:cs="宋体"/>
          <w:szCs w:val="24"/>
        </w:rPr>
      </w:pPr>
      <w:r>
        <w:rPr>
          <w:rFonts w:hint="eastAsia" w:ascii="宋体" w:hAnsi="宋体" w:cs="宋体"/>
          <w:szCs w:val="24"/>
        </w:rPr>
        <w:t>3</w:t>
      </w:r>
      <w:r>
        <w:rPr>
          <w:rFonts w:ascii="宋体" w:hAnsi="宋体" w:cs="宋体"/>
          <w:szCs w:val="24"/>
        </w:rPr>
        <w:t>.遵守校纪校规，在学校学风建设、精神文明建设中起到模范带头作用</w:t>
      </w:r>
      <w:r>
        <w:rPr>
          <w:rFonts w:hint="eastAsia" w:ascii="宋体" w:hAnsi="宋体" w:cs="宋体"/>
          <w:szCs w:val="24"/>
        </w:rPr>
        <w:t>；</w:t>
      </w:r>
    </w:p>
    <w:p>
      <w:pPr>
        <w:ind w:firstLine="480"/>
        <w:rPr>
          <w:rFonts w:ascii="宋体" w:hAnsi="宋体" w:cs="宋体"/>
          <w:szCs w:val="24"/>
        </w:rPr>
      </w:pPr>
      <w:r>
        <w:rPr>
          <w:rFonts w:hint="eastAsia" w:ascii="宋体" w:hAnsi="宋体" w:cs="宋体"/>
          <w:szCs w:val="24"/>
        </w:rPr>
        <w:t>4</w:t>
      </w:r>
      <w:r>
        <w:rPr>
          <w:rFonts w:ascii="宋体" w:hAnsi="宋体" w:cs="宋体"/>
          <w:szCs w:val="24"/>
        </w:rPr>
        <w:t>.学习刻苦认真、成绩优异</w:t>
      </w:r>
      <w:r>
        <w:rPr>
          <w:rFonts w:hint="eastAsia" w:ascii="宋体" w:hAnsi="宋体" w:cs="宋体"/>
          <w:szCs w:val="24"/>
        </w:rPr>
        <w:t>；</w:t>
      </w:r>
    </w:p>
    <w:p>
      <w:pPr>
        <w:ind w:firstLine="480"/>
        <w:rPr>
          <w:rFonts w:ascii="宋体" w:hAnsi="宋体" w:cs="宋体"/>
          <w:szCs w:val="24"/>
        </w:rPr>
      </w:pPr>
      <w:r>
        <w:rPr>
          <w:rFonts w:hint="eastAsia" w:ascii="宋体" w:hAnsi="宋体" w:cs="宋体"/>
          <w:szCs w:val="24"/>
        </w:rPr>
        <w:t>5</w:t>
      </w:r>
      <w:r>
        <w:rPr>
          <w:rFonts w:ascii="宋体" w:hAnsi="宋体" w:cs="宋体"/>
          <w:szCs w:val="24"/>
        </w:rPr>
        <w:t>.积极参加实习实践活动，具有较宽广的专业基础和较强的创新能力，科研方面有较高水平或突出成果</w:t>
      </w:r>
      <w:r>
        <w:rPr>
          <w:rFonts w:hint="eastAsia" w:ascii="宋体" w:hAnsi="宋体" w:cs="宋体"/>
          <w:szCs w:val="24"/>
        </w:rPr>
        <w:t>；</w:t>
      </w:r>
    </w:p>
    <w:p>
      <w:pPr>
        <w:ind w:firstLine="480"/>
        <w:rPr>
          <w:rFonts w:ascii="宋体" w:hAnsi="宋体" w:cs="宋体"/>
          <w:szCs w:val="24"/>
        </w:rPr>
      </w:pPr>
      <w:r>
        <w:rPr>
          <w:rFonts w:hint="eastAsia" w:ascii="宋体" w:hAnsi="宋体" w:cs="宋体"/>
          <w:szCs w:val="24"/>
        </w:rPr>
        <w:t>6</w:t>
      </w:r>
      <w:r>
        <w:rPr>
          <w:rFonts w:ascii="宋体" w:hAnsi="宋体" w:cs="宋体"/>
          <w:szCs w:val="24"/>
        </w:rPr>
        <w:t>.积极参加志愿服务活动，重诺守信、感恩图报</w:t>
      </w:r>
      <w:r>
        <w:rPr>
          <w:rFonts w:hint="eastAsia" w:ascii="宋体" w:hAnsi="宋体" w:cs="宋体"/>
          <w:szCs w:val="24"/>
        </w:rPr>
        <w:t>；</w:t>
      </w:r>
    </w:p>
    <w:p>
      <w:pPr>
        <w:ind w:firstLine="480"/>
        <w:rPr>
          <w:rFonts w:ascii="宋体" w:hAnsi="宋体" w:cs="宋体"/>
          <w:szCs w:val="24"/>
        </w:rPr>
      </w:pPr>
      <w:r>
        <w:rPr>
          <w:rFonts w:hint="eastAsia" w:ascii="宋体" w:hAnsi="宋体" w:cs="宋体"/>
          <w:szCs w:val="24"/>
        </w:rPr>
        <w:t>7</w:t>
      </w:r>
      <w:r>
        <w:rPr>
          <w:rFonts w:ascii="宋体" w:hAnsi="宋体" w:cs="宋体"/>
          <w:szCs w:val="24"/>
        </w:rPr>
        <w:t>.同等情况下来自西南地区（贵州，广西，云南，西藏） 的学生优先、毕业后有意加入捐赠单位工作的同学优先</w:t>
      </w:r>
      <w:r>
        <w:rPr>
          <w:rFonts w:hint="eastAsia" w:ascii="宋体" w:hAnsi="宋体" w:cs="宋体"/>
          <w:szCs w:val="24"/>
        </w:rPr>
        <w:t>；</w:t>
      </w:r>
    </w:p>
    <w:p>
      <w:pPr>
        <w:ind w:firstLine="480"/>
        <w:rPr>
          <w:rFonts w:ascii="宋体" w:hAnsi="宋体" w:cs="宋体"/>
          <w:szCs w:val="24"/>
        </w:rPr>
      </w:pPr>
      <w:r>
        <w:rPr>
          <w:rFonts w:hint="eastAsia" w:ascii="宋体" w:hAnsi="宋体" w:cs="宋体"/>
          <w:szCs w:val="24"/>
        </w:rPr>
        <w:t>8</w:t>
      </w:r>
      <w:r>
        <w:rPr>
          <w:rFonts w:ascii="宋体" w:hAnsi="宋体" w:cs="宋体"/>
          <w:szCs w:val="24"/>
        </w:rPr>
        <w:t>.</w:t>
      </w:r>
      <w:r>
        <w:rPr>
          <w:rFonts w:hint="eastAsia" w:ascii="宋体" w:hAnsi="宋体" w:cs="宋体"/>
          <w:szCs w:val="24"/>
        </w:rPr>
        <w:t>积极参加学院经典阅读活动，参评学年至少提交两篇读后感。</w:t>
      </w:r>
    </w:p>
    <w:p>
      <w:pPr>
        <w:ind w:firstLine="482"/>
        <w:rPr>
          <w:rFonts w:eastAsia="黑体" w:cstheme="majorBidi"/>
          <w:b/>
          <w:bCs/>
          <w:szCs w:val="32"/>
        </w:rPr>
      </w:pPr>
      <w:r>
        <w:rPr>
          <w:rFonts w:hint="eastAsia" w:eastAsia="黑体" w:cstheme="majorBidi"/>
          <w:b/>
          <w:bCs/>
          <w:szCs w:val="32"/>
        </w:rPr>
        <w:t>四、评选办法</w:t>
      </w:r>
    </w:p>
    <w:p>
      <w:pPr>
        <w:ind w:firstLine="480"/>
        <w:rPr>
          <w:rFonts w:ascii="宋体" w:hAnsi="宋体" w:cs="宋体"/>
          <w:szCs w:val="24"/>
        </w:rPr>
      </w:pPr>
      <w:r>
        <w:rPr>
          <w:rFonts w:hint="eastAsia" w:ascii="宋体" w:hAnsi="宋体" w:cs="宋体"/>
          <w:szCs w:val="24"/>
        </w:rPr>
        <w:t>申请及评奖程序按学校相关奖助学金评审管理办法执行。</w:t>
      </w:r>
    </w:p>
    <w:p>
      <w:pPr>
        <w:ind w:firstLine="480"/>
      </w:pPr>
    </w:p>
    <w:p>
      <w:pPr>
        <w:ind w:firstLine="480"/>
      </w:pPr>
    </w:p>
    <w:p>
      <w:pPr>
        <w:ind w:firstLine="480"/>
      </w:pPr>
    </w:p>
    <w:p>
      <w:pPr>
        <w:ind w:firstLine="480"/>
      </w:pPr>
    </w:p>
    <w:p>
      <w:pPr>
        <w:ind w:firstLine="480"/>
      </w:pPr>
    </w:p>
    <w:p>
      <w:pPr>
        <w:pStyle w:val="2"/>
        <w:spacing w:after="163"/>
        <w:ind w:firstLine="627"/>
        <w:rPr>
          <w:w w:val="98"/>
        </w:rPr>
      </w:pPr>
      <w:bookmarkStart w:id="1" w:name="_Toc19631950"/>
      <w:r>
        <w:rPr>
          <w:rFonts w:hint="eastAsia"/>
          <w:w w:val="98"/>
        </w:rPr>
        <w:t>西南交通大学</w:t>
      </w:r>
      <w:r>
        <w:rPr>
          <w:w w:val="98"/>
        </w:rPr>
        <w:t>07茅电凌睿助学金评定办法</w:t>
      </w:r>
      <w:bookmarkEnd w:id="1"/>
    </w:p>
    <w:p>
      <w:pPr>
        <w:ind w:firstLine="480"/>
      </w:pPr>
      <w:r>
        <w:rPr>
          <w:rFonts w:hint="eastAsia"/>
        </w:rPr>
        <w:t>西南交通大学电气工程学院</w:t>
      </w:r>
      <w:r>
        <w:t>2007级茅以升班由30名来自全国各地的同学组成，在交大求学期间，他们在学习上努力上进，在班级建设上团结和谐，在生活上相亲相爱，有21人最终保送本校或外校研究生，1人博士毕业，2人出国，现工作于各地企事业单位、国外知名企业等。</w:t>
      </w:r>
    </w:p>
    <w:p>
      <w:pPr>
        <w:ind w:firstLine="480"/>
      </w:pPr>
      <w:r>
        <w:rPr>
          <w:rFonts w:hint="eastAsia"/>
        </w:rPr>
        <w:t>四川凌睿电力建设有限公司成立于</w:t>
      </w:r>
      <w:r>
        <w:t>2016年11月9日，由西南交通大学电气工程学院2007级茅以升班毕业生李树森投资组建。公司主要从事电力工程施工总承包、水利水电工程施工总承包、输变电工程专业承包、建筑机电安装专业承包等工程项目。创业伊始，公司历经艰辛，亦受到来自各行各业的领导、朋友和同学的关心与帮助。</w:t>
      </w:r>
    </w:p>
    <w:p>
      <w:pPr>
        <w:ind w:firstLine="480"/>
      </w:pPr>
      <w:r>
        <w:rPr>
          <w:rFonts w:hint="eastAsia"/>
        </w:rPr>
        <w:t>为感谢母校、母院及学校领导、学院领导、同学多年来的支持和帮助，为激励母校学生努力学习，立志成长为对祖国和人民有贡献的人才，四川凌睿电力建设有限公司联合西南交通大学电气工程学院</w:t>
      </w:r>
      <w:r>
        <w:t>2007级茅以升班全体学生设立西南交通大学“07茅电凌睿”助学金。</w:t>
      </w:r>
    </w:p>
    <w:p>
      <w:pPr>
        <w:pStyle w:val="3"/>
      </w:pPr>
      <w:r>
        <w:rPr>
          <w:rFonts w:hint="eastAsia"/>
        </w:rPr>
        <w:t xml:space="preserve">一、奖励对象 </w:t>
      </w:r>
    </w:p>
    <w:p>
      <w:pPr>
        <w:ind w:firstLine="480"/>
      </w:pPr>
      <w:r>
        <w:rPr>
          <w:rFonts w:hint="eastAsia"/>
        </w:rPr>
        <w:t>西南交通大学电气工程学院全日制在读二、三、四年级本科生。</w:t>
      </w:r>
    </w:p>
    <w:p>
      <w:pPr>
        <w:pStyle w:val="3"/>
      </w:pPr>
      <w:r>
        <w:rPr>
          <w:rFonts w:hint="eastAsia"/>
        </w:rPr>
        <w:t>二、奖励人数及金额</w:t>
      </w:r>
    </w:p>
    <w:p>
      <w:pPr>
        <w:ind w:firstLine="480"/>
      </w:pPr>
      <w:r>
        <w:rPr>
          <w:rFonts w:hint="eastAsia"/>
        </w:rPr>
        <w:t>每年评选</w:t>
      </w:r>
      <w:r>
        <w:t>4名，其中</w:t>
      </w:r>
      <w:r>
        <w:rPr>
          <w:rFonts w:hint="eastAsia"/>
        </w:rPr>
        <w:t>二年级</w:t>
      </w:r>
      <w:r>
        <w:t>2名，三年级1名，四年级1名，每人资助2500元。</w:t>
      </w:r>
    </w:p>
    <w:p>
      <w:pPr>
        <w:pStyle w:val="3"/>
      </w:pPr>
      <w:r>
        <w:rPr>
          <w:rFonts w:hint="eastAsia"/>
        </w:rPr>
        <w:t>三、评奖条件</w:t>
      </w:r>
    </w:p>
    <w:p>
      <w:pPr>
        <w:ind w:firstLine="480"/>
      </w:pPr>
      <w:r>
        <w:t>1.</w:t>
      </w:r>
      <w:r>
        <w:rPr>
          <w:rFonts w:hint="eastAsia"/>
        </w:rPr>
        <w:t>符合</w:t>
      </w:r>
      <w:r>
        <w:t>《</w:t>
      </w:r>
      <w:r>
        <w:rPr>
          <w:rFonts w:hint="eastAsia"/>
        </w:rPr>
        <w:t>西南交通大学本科生奖助学金评审管理办法</w:t>
      </w:r>
      <w:r>
        <w:t>》</w:t>
      </w:r>
      <w:r>
        <w:rPr>
          <w:rFonts w:hint="eastAsia"/>
        </w:rPr>
        <w:t>中的</w:t>
      </w:r>
      <w:r>
        <w:t>评奖</w:t>
      </w:r>
      <w:r>
        <w:rPr>
          <w:rFonts w:hint="eastAsia"/>
        </w:rPr>
        <w:t>条件</w:t>
      </w:r>
      <w:r>
        <w:t>；</w:t>
      </w:r>
    </w:p>
    <w:p>
      <w:pPr>
        <w:ind w:firstLine="480"/>
      </w:pPr>
      <w:r>
        <w:t>2.</w:t>
      </w:r>
      <w:r>
        <w:rPr>
          <w:rFonts w:hint="eastAsia"/>
        </w:rPr>
        <w:t>参评</w:t>
      </w:r>
      <w:r>
        <w:t>学</w:t>
      </w:r>
      <w:r>
        <w:rPr>
          <w:rFonts w:hint="eastAsia"/>
        </w:rPr>
        <w:t>年</w:t>
      </w:r>
      <w:r>
        <w:t>家庭经济困难学生认定</w:t>
      </w:r>
      <w:r>
        <w:rPr>
          <w:rFonts w:hint="eastAsia"/>
        </w:rPr>
        <w:t>等级</w:t>
      </w:r>
      <w:r>
        <w:t>为特别</w:t>
      </w:r>
      <w:r>
        <w:rPr>
          <w:rFonts w:hint="eastAsia"/>
        </w:rPr>
        <w:t>困难</w:t>
      </w:r>
      <w:r>
        <w:t>；</w:t>
      </w:r>
    </w:p>
    <w:p>
      <w:pPr>
        <w:ind w:firstLine="480"/>
      </w:pPr>
      <w:r>
        <w:rPr>
          <w:rFonts w:hint="eastAsia"/>
        </w:rPr>
        <w:t>3.</w:t>
      </w:r>
      <w:r>
        <w:t>学习刻苦，成绩良好，专业排名前50%；</w:t>
      </w:r>
    </w:p>
    <w:p>
      <w:pPr>
        <w:ind w:firstLine="480"/>
      </w:pPr>
      <w:r>
        <w:t>4.</w:t>
      </w:r>
      <w:r>
        <w:rPr>
          <w:rFonts w:hint="eastAsia"/>
        </w:rPr>
        <w:t>积极参加志愿服务活动，重诺守信、感恩图报；</w:t>
      </w:r>
    </w:p>
    <w:p>
      <w:pPr>
        <w:ind w:firstLine="480"/>
      </w:pPr>
      <w:r>
        <w:t>5.</w:t>
      </w:r>
      <w:r>
        <w:rPr>
          <w:rFonts w:hint="eastAsia"/>
        </w:rPr>
        <w:t>积极</w:t>
      </w:r>
      <w:r>
        <w:t>参加</w:t>
      </w:r>
      <w:r>
        <w:rPr>
          <w:rFonts w:hint="eastAsia"/>
        </w:rPr>
        <w:t>学院</w:t>
      </w:r>
      <w:r>
        <w:t>经典阅读活动，</w:t>
      </w:r>
      <w:r>
        <w:rPr>
          <w:rFonts w:hint="eastAsia"/>
        </w:rPr>
        <w:t>参评</w:t>
      </w:r>
      <w:r>
        <w:t>学</w:t>
      </w:r>
      <w:r>
        <w:rPr>
          <w:rFonts w:hint="eastAsia"/>
        </w:rPr>
        <w:t>年</w:t>
      </w:r>
      <w:r>
        <w:t>至少提交</w:t>
      </w:r>
      <w:r>
        <w:rPr>
          <w:rFonts w:hint="eastAsia"/>
        </w:rPr>
        <w:t>两篇</w:t>
      </w:r>
      <w:r>
        <w:t>读后感</w:t>
      </w:r>
      <w:r>
        <w:rPr>
          <w:rFonts w:hint="eastAsia"/>
        </w:rPr>
        <w:t>。</w:t>
      </w:r>
    </w:p>
    <w:p>
      <w:pPr>
        <w:pStyle w:val="3"/>
      </w:pPr>
      <w:r>
        <w:rPr>
          <w:rFonts w:hint="eastAsia"/>
        </w:rPr>
        <w:t>四、评选办法</w:t>
      </w:r>
    </w:p>
    <w:p>
      <w:pPr>
        <w:ind w:firstLine="480"/>
        <w:rPr>
          <w:rFonts w:ascii="宋体" w:hAnsi="宋体" w:cs="宋体"/>
          <w:szCs w:val="24"/>
        </w:rPr>
      </w:pPr>
      <w:r>
        <w:rPr>
          <w:rFonts w:hint="eastAsia"/>
        </w:rPr>
        <w:t>申请及评奖程序按学校相关奖助学金评审管理办法执行。电气工程学院</w:t>
      </w:r>
      <w:r>
        <w:t>将最终获奖者资料报送西南交通大学电气工程学院2007级茅以升班和四川凌睿电力建设有限公司备案</w:t>
      </w:r>
      <w:r>
        <w:rPr>
          <w:rFonts w:ascii="宋体" w:hAnsi="宋体" w:cs="宋体"/>
          <w:szCs w:val="24"/>
        </w:rPr>
        <w:t>。</w:t>
      </w:r>
    </w:p>
    <w:p>
      <w:pPr>
        <w:ind w:firstLine="480"/>
      </w:pPr>
    </w:p>
    <w:p>
      <w:pPr>
        <w:ind w:firstLine="480"/>
      </w:pPr>
    </w:p>
    <w:p>
      <w:pPr>
        <w:ind w:firstLine="480"/>
      </w:pPr>
    </w:p>
    <w:p>
      <w:pPr>
        <w:ind w:firstLine="627"/>
        <w:jc w:val="center"/>
        <w:rPr>
          <w:rFonts w:eastAsia="方正小标宋简体"/>
          <w:bCs/>
          <w:w w:val="98"/>
          <w:kern w:val="44"/>
          <w:sz w:val="32"/>
          <w:szCs w:val="44"/>
        </w:rPr>
      </w:pPr>
      <w:r>
        <w:rPr>
          <w:rFonts w:hint="eastAsia" w:eastAsia="方正小标宋简体"/>
          <w:bCs/>
          <w:w w:val="98"/>
          <w:kern w:val="44"/>
          <w:sz w:val="32"/>
          <w:szCs w:val="44"/>
        </w:rPr>
        <w:t>西南交通大学“星空计划”专项奖学金评定办法</w:t>
      </w:r>
    </w:p>
    <w:p>
      <w:pPr>
        <w:ind w:firstLine="480"/>
        <w:rPr>
          <w:rFonts w:ascii="宋体" w:hAnsi="宋体" w:cs="宋体"/>
          <w:szCs w:val="24"/>
        </w:rPr>
      </w:pPr>
      <w:r>
        <w:rPr>
          <w:rFonts w:hint="eastAsia" w:ascii="宋体" w:hAnsi="宋体" w:cs="宋体"/>
          <w:szCs w:val="24"/>
        </w:rPr>
        <w:t>“星空计划”专项奖学金是四川万益能源科技有限公司和四川华宇电力有限公司为了充分利用校企双方的教育培训与实习实践资源，培养既具有良好职业素质又具有较高专业实践能力的应用型技术人才，为企业节约人力资源培养、录用、使用成本，甲乙双方本着协作、互助、共赢的原则，坚持走理论与实践相结合的道路，自愿建立校企合作关系。其中，设立此奖学金用于奖励学习刻苦、具有创新精神和动手能力的学生。</w:t>
      </w:r>
    </w:p>
    <w:p>
      <w:pPr>
        <w:ind w:firstLine="482"/>
        <w:rPr>
          <w:rFonts w:eastAsia="黑体" w:cstheme="majorBidi"/>
          <w:b/>
          <w:bCs/>
          <w:szCs w:val="32"/>
        </w:rPr>
      </w:pPr>
      <w:r>
        <w:rPr>
          <w:rFonts w:hint="eastAsia" w:eastAsia="黑体" w:cstheme="majorBidi"/>
          <w:b/>
          <w:bCs/>
          <w:szCs w:val="32"/>
        </w:rPr>
        <w:t>一、奖励对象</w:t>
      </w:r>
    </w:p>
    <w:p>
      <w:pPr>
        <w:ind w:firstLine="480"/>
        <w:rPr>
          <w:rFonts w:ascii="宋体" w:hAnsi="宋体" w:cs="宋体"/>
          <w:szCs w:val="24"/>
        </w:rPr>
      </w:pPr>
      <w:r>
        <w:rPr>
          <w:rFonts w:hint="eastAsia" w:ascii="宋体" w:hAnsi="宋体" w:cs="宋体"/>
          <w:szCs w:val="24"/>
        </w:rPr>
        <w:t>西南交通大学电气工程学院全日制在读三、四年级本科生。</w:t>
      </w:r>
    </w:p>
    <w:p>
      <w:pPr>
        <w:ind w:firstLine="482"/>
        <w:rPr>
          <w:rFonts w:eastAsia="黑体" w:cstheme="majorBidi"/>
          <w:b/>
          <w:bCs/>
          <w:szCs w:val="32"/>
        </w:rPr>
      </w:pPr>
      <w:r>
        <w:rPr>
          <w:rFonts w:hint="eastAsia" w:eastAsia="黑体" w:cstheme="majorBidi"/>
          <w:b/>
          <w:bCs/>
          <w:szCs w:val="32"/>
        </w:rPr>
        <w:t>二、奖励人数及金额</w:t>
      </w:r>
    </w:p>
    <w:p>
      <w:pPr>
        <w:ind w:firstLine="480"/>
        <w:rPr>
          <w:rFonts w:ascii="宋体" w:hAnsi="宋体" w:cs="宋体"/>
          <w:szCs w:val="24"/>
        </w:rPr>
      </w:pPr>
      <w:r>
        <w:rPr>
          <w:rFonts w:hint="eastAsia" w:ascii="宋体" w:hAnsi="宋体" w:cs="宋体"/>
          <w:szCs w:val="24"/>
        </w:rPr>
        <w:t>每年评选本科生10</w:t>
      </w:r>
      <w:r>
        <w:rPr>
          <w:rFonts w:ascii="宋体" w:hAnsi="宋体" w:cs="宋体"/>
          <w:szCs w:val="24"/>
        </w:rPr>
        <w:t>名，每人奖励</w:t>
      </w:r>
      <w:r>
        <w:rPr>
          <w:rFonts w:hint="eastAsia" w:ascii="宋体" w:hAnsi="宋体" w:cs="宋体"/>
          <w:szCs w:val="24"/>
        </w:rPr>
        <w:t>3</w:t>
      </w:r>
      <w:r>
        <w:rPr>
          <w:rFonts w:ascii="宋体" w:hAnsi="宋体" w:cs="宋体"/>
          <w:szCs w:val="24"/>
        </w:rPr>
        <w:t>000元。</w:t>
      </w:r>
    </w:p>
    <w:p>
      <w:pPr>
        <w:ind w:firstLine="480"/>
        <w:rPr>
          <w:rFonts w:ascii="宋体" w:hAnsi="宋体" w:cs="宋体"/>
          <w:szCs w:val="24"/>
        </w:rPr>
      </w:pPr>
      <w:r>
        <w:rPr>
          <w:rFonts w:hint="eastAsia" w:ascii="宋体" w:hAnsi="宋体" w:cs="宋体"/>
          <w:szCs w:val="24"/>
        </w:rPr>
        <w:t>如当年经甲方与乙方综合评选，未达到人数要求，按照实际通过评选的人数及具体奖学金数目发放当年专项奖学金，当年剩余奖学金累计顺延至下年执行，次年具体评选人数与奖项次年制定。</w:t>
      </w:r>
    </w:p>
    <w:p>
      <w:pPr>
        <w:ind w:firstLine="482"/>
        <w:rPr>
          <w:rFonts w:eastAsia="黑体" w:cstheme="majorBidi"/>
          <w:b/>
          <w:bCs/>
          <w:szCs w:val="32"/>
        </w:rPr>
      </w:pPr>
      <w:r>
        <w:rPr>
          <w:rFonts w:hint="eastAsia" w:eastAsia="黑体" w:cstheme="majorBidi"/>
          <w:b/>
          <w:bCs/>
          <w:szCs w:val="32"/>
        </w:rPr>
        <w:t>三、评奖条件</w:t>
      </w:r>
    </w:p>
    <w:p>
      <w:pPr>
        <w:ind w:firstLine="480"/>
      </w:pPr>
      <w:r>
        <w:t>1.</w:t>
      </w:r>
      <w:r>
        <w:rPr>
          <w:rFonts w:hint="eastAsia"/>
        </w:rPr>
        <w:t>符合</w:t>
      </w:r>
      <w:r>
        <w:t>《</w:t>
      </w:r>
      <w:r>
        <w:rPr>
          <w:rFonts w:hint="eastAsia"/>
        </w:rPr>
        <w:t>西南交通大学本科生奖助学金评审管理办法</w:t>
      </w:r>
      <w:r>
        <w:t>》</w:t>
      </w:r>
      <w:r>
        <w:rPr>
          <w:rFonts w:hint="eastAsia"/>
        </w:rPr>
        <w:t>中的</w:t>
      </w:r>
      <w:r>
        <w:t>评奖</w:t>
      </w:r>
      <w:r>
        <w:rPr>
          <w:rFonts w:hint="eastAsia"/>
        </w:rPr>
        <w:t>条件</w:t>
      </w:r>
      <w:r>
        <w:t>；</w:t>
      </w:r>
    </w:p>
    <w:p>
      <w:pPr>
        <w:ind w:firstLine="480"/>
        <w:rPr>
          <w:rFonts w:ascii="宋体" w:hAnsi="宋体" w:cs="宋体"/>
          <w:szCs w:val="24"/>
        </w:rPr>
      </w:pPr>
      <w:r>
        <w:rPr>
          <w:rFonts w:hint="eastAsia" w:ascii="宋体" w:hAnsi="宋体" w:cs="宋体"/>
          <w:szCs w:val="24"/>
        </w:rPr>
        <w:t>2</w:t>
      </w:r>
      <w:r>
        <w:rPr>
          <w:rFonts w:ascii="宋体" w:hAnsi="宋体" w:cs="宋体"/>
          <w:szCs w:val="24"/>
        </w:rPr>
        <w:t>.爱国、爱校、爱院，遵纪守法，模范遵守学校各项规章制度；</w:t>
      </w:r>
    </w:p>
    <w:p>
      <w:pPr>
        <w:ind w:firstLine="480"/>
        <w:rPr>
          <w:rFonts w:ascii="宋体" w:hAnsi="宋体" w:cs="宋体"/>
          <w:szCs w:val="24"/>
        </w:rPr>
      </w:pPr>
      <w:r>
        <w:rPr>
          <w:rFonts w:hint="eastAsia" w:ascii="宋体" w:hAnsi="宋体" w:cs="宋体"/>
          <w:szCs w:val="24"/>
        </w:rPr>
        <w:t>3</w:t>
      </w:r>
      <w:r>
        <w:rPr>
          <w:rFonts w:ascii="宋体" w:hAnsi="宋体" w:cs="宋体"/>
          <w:szCs w:val="24"/>
        </w:rPr>
        <w:t>.道德品质优良，无抽烟、酗酒、沉溺游戏等不良嗜好，生活作风简朴；</w:t>
      </w:r>
    </w:p>
    <w:p>
      <w:pPr>
        <w:ind w:firstLine="480"/>
        <w:rPr>
          <w:rFonts w:ascii="宋体" w:hAnsi="宋体" w:cs="宋体"/>
          <w:szCs w:val="24"/>
        </w:rPr>
      </w:pPr>
      <w:r>
        <w:rPr>
          <w:rFonts w:hint="eastAsia" w:ascii="宋体" w:hAnsi="宋体" w:cs="宋体"/>
          <w:szCs w:val="24"/>
        </w:rPr>
        <w:t>4</w:t>
      </w:r>
      <w:r>
        <w:rPr>
          <w:rFonts w:ascii="宋体" w:hAnsi="宋体" w:cs="宋体"/>
          <w:szCs w:val="24"/>
        </w:rPr>
        <w:t>.学习刻苦，成绩良好，当年无挂科，专业排名前50%；</w:t>
      </w:r>
    </w:p>
    <w:p>
      <w:pPr>
        <w:ind w:firstLine="480"/>
        <w:rPr>
          <w:rFonts w:ascii="宋体" w:hAnsi="宋体" w:cs="宋体"/>
          <w:szCs w:val="24"/>
        </w:rPr>
      </w:pPr>
      <w:r>
        <w:rPr>
          <w:rFonts w:hint="eastAsia" w:ascii="宋体" w:hAnsi="宋体" w:cs="宋体"/>
          <w:szCs w:val="24"/>
        </w:rPr>
        <w:t>5</w:t>
      </w:r>
      <w:r>
        <w:rPr>
          <w:rFonts w:ascii="宋体" w:hAnsi="宋体" w:cs="宋体"/>
          <w:szCs w:val="24"/>
        </w:rPr>
        <w:t>.有较强的创新精神和动手能力，在科学研究或科技竞赛中取得优异成绩同学优先</w:t>
      </w:r>
      <w:r>
        <w:rPr>
          <w:rFonts w:hint="eastAsia" w:ascii="宋体" w:hAnsi="宋体" w:cs="宋体"/>
          <w:szCs w:val="24"/>
        </w:rPr>
        <w:t>；</w:t>
      </w:r>
    </w:p>
    <w:p>
      <w:pPr>
        <w:ind w:firstLine="480"/>
        <w:rPr>
          <w:rFonts w:ascii="宋体" w:hAnsi="宋体" w:cs="宋体"/>
          <w:szCs w:val="24"/>
        </w:rPr>
      </w:pPr>
      <w:r>
        <w:rPr>
          <w:rFonts w:hint="eastAsia" w:ascii="宋体" w:hAnsi="宋体" w:cs="宋体"/>
          <w:szCs w:val="24"/>
        </w:rPr>
        <w:t>6</w:t>
      </w:r>
      <w:r>
        <w:rPr>
          <w:rFonts w:ascii="宋体" w:hAnsi="宋体" w:cs="宋体"/>
          <w:szCs w:val="24"/>
        </w:rPr>
        <w:t>.有意愿参加或已参加于暑期进行的“星空计划”实训（6周）的同学优先；</w:t>
      </w:r>
    </w:p>
    <w:p>
      <w:pPr>
        <w:ind w:firstLine="480"/>
        <w:rPr>
          <w:rFonts w:ascii="宋体" w:hAnsi="宋体" w:cs="宋体"/>
          <w:szCs w:val="24"/>
        </w:rPr>
      </w:pPr>
      <w:r>
        <w:rPr>
          <w:rFonts w:hint="eastAsia" w:ascii="宋体" w:hAnsi="宋体" w:cs="宋体"/>
          <w:szCs w:val="24"/>
        </w:rPr>
        <w:t>7</w:t>
      </w:r>
      <w:r>
        <w:rPr>
          <w:rFonts w:ascii="宋体" w:hAnsi="宋体" w:cs="宋体"/>
          <w:szCs w:val="24"/>
        </w:rPr>
        <w:t>.若满足条件5者，且特别突出的可以不受条件4限制。</w:t>
      </w:r>
    </w:p>
    <w:p>
      <w:pPr>
        <w:ind w:firstLine="480"/>
      </w:pPr>
      <w:r>
        <w:t>8.</w:t>
      </w:r>
      <w:r>
        <w:rPr>
          <w:rFonts w:hint="eastAsia"/>
        </w:rPr>
        <w:t>积极</w:t>
      </w:r>
      <w:r>
        <w:t>参加</w:t>
      </w:r>
      <w:r>
        <w:rPr>
          <w:rFonts w:hint="eastAsia"/>
        </w:rPr>
        <w:t>学院</w:t>
      </w:r>
      <w:r>
        <w:t>经典阅读活动，</w:t>
      </w:r>
      <w:r>
        <w:rPr>
          <w:rFonts w:hint="eastAsia"/>
        </w:rPr>
        <w:t>参评</w:t>
      </w:r>
      <w:r>
        <w:t>学</w:t>
      </w:r>
      <w:r>
        <w:rPr>
          <w:rFonts w:hint="eastAsia"/>
        </w:rPr>
        <w:t>年</w:t>
      </w:r>
      <w:r>
        <w:t>至少提交</w:t>
      </w:r>
      <w:r>
        <w:rPr>
          <w:rFonts w:hint="eastAsia"/>
        </w:rPr>
        <w:t>两篇</w:t>
      </w:r>
      <w:r>
        <w:t>读后感</w:t>
      </w:r>
      <w:r>
        <w:rPr>
          <w:rFonts w:hint="eastAsia"/>
        </w:rPr>
        <w:t>。</w:t>
      </w:r>
    </w:p>
    <w:p>
      <w:pPr>
        <w:ind w:firstLine="482"/>
        <w:rPr>
          <w:rFonts w:eastAsia="黑体" w:cstheme="majorBidi"/>
          <w:b/>
          <w:bCs/>
          <w:szCs w:val="32"/>
        </w:rPr>
      </w:pPr>
      <w:r>
        <w:rPr>
          <w:rFonts w:hint="eastAsia" w:eastAsia="黑体" w:cstheme="majorBidi"/>
          <w:b/>
          <w:bCs/>
          <w:szCs w:val="32"/>
        </w:rPr>
        <w:t>四、评选办法</w:t>
      </w:r>
    </w:p>
    <w:p>
      <w:pPr>
        <w:ind w:firstLine="480"/>
        <w:rPr>
          <w:rFonts w:ascii="宋体" w:hAnsi="宋体" w:cs="宋体"/>
          <w:szCs w:val="24"/>
        </w:rPr>
      </w:pPr>
      <w:r>
        <w:rPr>
          <w:rFonts w:hint="eastAsia" w:ascii="宋体" w:hAnsi="宋体" w:cs="宋体"/>
          <w:szCs w:val="24"/>
        </w:rPr>
        <w:t>学生自愿申请，学院审核基本条件，报送企业评审；企业评审结果通过后在学院网进行公示，期满后，对确认无异议的，按照规定发放奖学金。</w:t>
      </w:r>
    </w:p>
    <w:p>
      <w:pPr>
        <w:ind w:firstLine="480"/>
      </w:pPr>
    </w:p>
    <w:sectPr>
      <w:headerReference r:id="rId7" w:type="first"/>
      <w:footerReference r:id="rId10" w:type="first"/>
      <w:headerReference r:id="rId5" w:type="default"/>
      <w:footerReference r:id="rId8" w:type="default"/>
      <w:headerReference r:id="rId6" w:type="even"/>
      <w:footerReference r:id="rId9" w:type="even"/>
      <w:pgSz w:w="11906" w:h="16838"/>
      <w:pgMar w:top="1440" w:right="1080" w:bottom="1440" w:left="1080" w:header="851" w:footer="992" w:gutter="0"/>
      <w:cols w:space="425" w:num="1"/>
      <w:docGrid w:type="lines"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89728722"/>
      <w:docPartObj>
        <w:docPartGallery w:val="AutoText"/>
      </w:docPartObj>
    </w:sdtPr>
    <w:sdtContent>
      <w:sdt>
        <w:sdtPr>
          <w:id w:val="1728636285"/>
          <w:docPartObj>
            <w:docPartGallery w:val="AutoText"/>
          </w:docPartObj>
        </w:sdtPr>
        <w:sdtContent>
          <w:p>
            <w:pPr>
              <w:pStyle w:val="4"/>
              <w:ind w:firstLine="480"/>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7</w:t>
            </w:r>
            <w:r>
              <w:rPr>
                <w:b/>
                <w:bCs/>
                <w:sz w:val="24"/>
                <w:szCs w:val="24"/>
              </w:rPr>
              <w:fldChar w:fldCharType="end"/>
            </w:r>
          </w:p>
        </w:sdtContent>
      </w:sdt>
    </w:sdtContent>
  </w:sdt>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480"/>
      </w:pPr>
      <w:r>
        <w:separator/>
      </w:r>
    </w:p>
  </w:footnote>
  <w:footnote w:type="continuationSeparator" w:id="1">
    <w:p>
      <w:pPr>
        <w:spacing w:line="24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5186655"/>
    <w:multiLevelType w:val="multilevel"/>
    <w:tmpl w:val="45186655"/>
    <w:lvl w:ilvl="0" w:tentative="0">
      <w:start w:val="1"/>
      <w:numFmt w:val="decimal"/>
      <w:pStyle w:val="13"/>
      <w:lvlText w:val="%1."/>
      <w:lvlJc w:val="left"/>
      <w:pPr>
        <w:ind w:left="562" w:hanging="420"/>
      </w:pPr>
      <w:rPr>
        <w:rFonts w:hint="eastAsia"/>
      </w:rPr>
    </w:lvl>
    <w:lvl w:ilvl="1" w:tentative="0">
      <w:start w:val="1"/>
      <w:numFmt w:val="lowerLetter"/>
      <w:lvlText w:val="%2)"/>
      <w:lvlJc w:val="left"/>
      <w:pPr>
        <w:ind w:left="557" w:hanging="420"/>
      </w:pPr>
    </w:lvl>
    <w:lvl w:ilvl="2" w:tentative="0">
      <w:start w:val="1"/>
      <w:numFmt w:val="lowerRoman"/>
      <w:lvlText w:val="%3."/>
      <w:lvlJc w:val="right"/>
      <w:pPr>
        <w:ind w:left="977" w:hanging="420"/>
      </w:pPr>
    </w:lvl>
    <w:lvl w:ilvl="3" w:tentative="0">
      <w:start w:val="1"/>
      <w:numFmt w:val="decimal"/>
      <w:lvlText w:val="%4."/>
      <w:lvlJc w:val="left"/>
      <w:pPr>
        <w:ind w:left="1397" w:hanging="420"/>
      </w:pPr>
    </w:lvl>
    <w:lvl w:ilvl="4" w:tentative="0">
      <w:start w:val="1"/>
      <w:numFmt w:val="lowerLetter"/>
      <w:lvlText w:val="%5)"/>
      <w:lvlJc w:val="left"/>
      <w:pPr>
        <w:ind w:left="1817" w:hanging="420"/>
      </w:pPr>
    </w:lvl>
    <w:lvl w:ilvl="5" w:tentative="0">
      <w:start w:val="1"/>
      <w:numFmt w:val="lowerRoman"/>
      <w:lvlText w:val="%6."/>
      <w:lvlJc w:val="right"/>
      <w:pPr>
        <w:ind w:left="2237" w:hanging="420"/>
      </w:pPr>
    </w:lvl>
    <w:lvl w:ilvl="6" w:tentative="0">
      <w:start w:val="1"/>
      <w:numFmt w:val="decimal"/>
      <w:lvlText w:val="%7."/>
      <w:lvlJc w:val="left"/>
      <w:pPr>
        <w:ind w:left="2657" w:hanging="420"/>
      </w:pPr>
    </w:lvl>
    <w:lvl w:ilvl="7" w:tentative="0">
      <w:start w:val="1"/>
      <w:numFmt w:val="lowerLetter"/>
      <w:lvlText w:val="%8)"/>
      <w:lvlJc w:val="left"/>
      <w:pPr>
        <w:ind w:left="3077" w:hanging="420"/>
      </w:pPr>
    </w:lvl>
    <w:lvl w:ilvl="8" w:tentative="0">
      <w:start w:val="1"/>
      <w:numFmt w:val="lowerRoman"/>
      <w:lvlText w:val="%9."/>
      <w:lvlJc w:val="right"/>
      <w:pPr>
        <w:ind w:left="3497"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HorizontalSpacing w:val="120"/>
  <w:drawingGridVerticalSpacing w:val="163"/>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6B48"/>
    <w:rsid w:val="0002614F"/>
    <w:rsid w:val="0003537F"/>
    <w:rsid w:val="0004678E"/>
    <w:rsid w:val="000549D3"/>
    <w:rsid w:val="000624DA"/>
    <w:rsid w:val="00090346"/>
    <w:rsid w:val="000934C2"/>
    <w:rsid w:val="000A5224"/>
    <w:rsid w:val="000E4F21"/>
    <w:rsid w:val="00133F51"/>
    <w:rsid w:val="0015204E"/>
    <w:rsid w:val="00152A11"/>
    <w:rsid w:val="001710E9"/>
    <w:rsid w:val="00185F55"/>
    <w:rsid w:val="001A5407"/>
    <w:rsid w:val="001B6517"/>
    <w:rsid w:val="001F156E"/>
    <w:rsid w:val="001F3CCF"/>
    <w:rsid w:val="00214520"/>
    <w:rsid w:val="00215207"/>
    <w:rsid w:val="00226251"/>
    <w:rsid w:val="0024339E"/>
    <w:rsid w:val="002565BF"/>
    <w:rsid w:val="00277519"/>
    <w:rsid w:val="00292FDC"/>
    <w:rsid w:val="00297C57"/>
    <w:rsid w:val="002D10A7"/>
    <w:rsid w:val="002E6294"/>
    <w:rsid w:val="002E7B2B"/>
    <w:rsid w:val="0033619D"/>
    <w:rsid w:val="00380EC7"/>
    <w:rsid w:val="00384DE6"/>
    <w:rsid w:val="00385ABC"/>
    <w:rsid w:val="00402D8F"/>
    <w:rsid w:val="0043448E"/>
    <w:rsid w:val="00450A1C"/>
    <w:rsid w:val="00474A6A"/>
    <w:rsid w:val="00480671"/>
    <w:rsid w:val="0049174F"/>
    <w:rsid w:val="004A1069"/>
    <w:rsid w:val="004F368A"/>
    <w:rsid w:val="00502A8C"/>
    <w:rsid w:val="00510700"/>
    <w:rsid w:val="00523F00"/>
    <w:rsid w:val="00524597"/>
    <w:rsid w:val="00540449"/>
    <w:rsid w:val="005A3F7F"/>
    <w:rsid w:val="005B1A6C"/>
    <w:rsid w:val="005D5BCB"/>
    <w:rsid w:val="005D61A1"/>
    <w:rsid w:val="005E3DB1"/>
    <w:rsid w:val="005F7456"/>
    <w:rsid w:val="00604C9F"/>
    <w:rsid w:val="00613D8E"/>
    <w:rsid w:val="006376D4"/>
    <w:rsid w:val="00652EF6"/>
    <w:rsid w:val="00656B26"/>
    <w:rsid w:val="006779E0"/>
    <w:rsid w:val="006B6489"/>
    <w:rsid w:val="0071680D"/>
    <w:rsid w:val="0073096C"/>
    <w:rsid w:val="00742F5F"/>
    <w:rsid w:val="00750F4D"/>
    <w:rsid w:val="007A0BB2"/>
    <w:rsid w:val="007B53DB"/>
    <w:rsid w:val="007C2128"/>
    <w:rsid w:val="007C30C1"/>
    <w:rsid w:val="007C4BE3"/>
    <w:rsid w:val="007E5199"/>
    <w:rsid w:val="00826266"/>
    <w:rsid w:val="008434BA"/>
    <w:rsid w:val="00846A36"/>
    <w:rsid w:val="00847DDD"/>
    <w:rsid w:val="00847E6E"/>
    <w:rsid w:val="00855A77"/>
    <w:rsid w:val="00871A25"/>
    <w:rsid w:val="00872996"/>
    <w:rsid w:val="00875198"/>
    <w:rsid w:val="008E16C0"/>
    <w:rsid w:val="008E2E59"/>
    <w:rsid w:val="00906F8A"/>
    <w:rsid w:val="00911B08"/>
    <w:rsid w:val="00922DDB"/>
    <w:rsid w:val="00964072"/>
    <w:rsid w:val="009726AF"/>
    <w:rsid w:val="009A4FF4"/>
    <w:rsid w:val="009A6541"/>
    <w:rsid w:val="00A00416"/>
    <w:rsid w:val="00A10524"/>
    <w:rsid w:val="00A10EEC"/>
    <w:rsid w:val="00A337BD"/>
    <w:rsid w:val="00A355FF"/>
    <w:rsid w:val="00A82C40"/>
    <w:rsid w:val="00A84E36"/>
    <w:rsid w:val="00AA7730"/>
    <w:rsid w:val="00AF5296"/>
    <w:rsid w:val="00B03E2A"/>
    <w:rsid w:val="00B35B03"/>
    <w:rsid w:val="00B365E0"/>
    <w:rsid w:val="00B80313"/>
    <w:rsid w:val="00BE322F"/>
    <w:rsid w:val="00C13F65"/>
    <w:rsid w:val="00C23BB7"/>
    <w:rsid w:val="00C35339"/>
    <w:rsid w:val="00C42F52"/>
    <w:rsid w:val="00CB28A3"/>
    <w:rsid w:val="00CC6E32"/>
    <w:rsid w:val="00D50488"/>
    <w:rsid w:val="00D83E7D"/>
    <w:rsid w:val="00D871E6"/>
    <w:rsid w:val="00DB0736"/>
    <w:rsid w:val="00DB6507"/>
    <w:rsid w:val="00DC346D"/>
    <w:rsid w:val="00E03F12"/>
    <w:rsid w:val="00E124CD"/>
    <w:rsid w:val="00E27BA6"/>
    <w:rsid w:val="00E61F6E"/>
    <w:rsid w:val="00E651CF"/>
    <w:rsid w:val="00E729B7"/>
    <w:rsid w:val="00E72BE7"/>
    <w:rsid w:val="00EC3877"/>
    <w:rsid w:val="00ED0AA9"/>
    <w:rsid w:val="00EE3032"/>
    <w:rsid w:val="00F47F71"/>
    <w:rsid w:val="00F5268D"/>
    <w:rsid w:val="00F96B48"/>
    <w:rsid w:val="00FD2F80"/>
    <w:rsid w:val="00FD4A3A"/>
    <w:rsid w:val="00FE42AC"/>
    <w:rsid w:val="1C1344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nhideWhenUsed="0" w:uiPriority="99" w:semiHidden="0" w:name="Table Subtle 1"/>
    <w:lsdException w:uiPriority="99" w:name="Table Subtle 2"/>
    <w:lsdException w:uiPriority="99" w:name="Table Web 1"/>
    <w:lsdException w:unhideWhenUsed="0" w:uiPriority="99" w:semiHidden="0" w:name="Table Web 2"/>
    <w:lsdException w:unhideWhenUsed="0" w:uiPriority="99" w:semiHidden="0"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jc w:val="both"/>
    </w:pPr>
    <w:rPr>
      <w:rFonts w:ascii="Times New Roman" w:hAnsi="Times New Roman" w:eastAsia="宋体" w:cstheme="minorBidi"/>
      <w:kern w:val="2"/>
      <w:sz w:val="24"/>
      <w:szCs w:val="22"/>
      <w:lang w:val="en-US" w:eastAsia="zh-CN" w:bidi="ar-SA"/>
    </w:rPr>
  </w:style>
  <w:style w:type="paragraph" w:styleId="2">
    <w:name w:val="heading 1"/>
    <w:basedOn w:val="1"/>
    <w:next w:val="1"/>
    <w:link w:val="14"/>
    <w:qFormat/>
    <w:uiPriority w:val="9"/>
    <w:pPr>
      <w:keepNext/>
      <w:keepLines/>
      <w:spacing w:after="50" w:afterLines="50"/>
      <w:jc w:val="center"/>
      <w:outlineLvl w:val="0"/>
    </w:pPr>
    <w:rPr>
      <w:rFonts w:eastAsia="方正小标宋简体"/>
      <w:bCs/>
      <w:kern w:val="44"/>
      <w:sz w:val="32"/>
      <w:szCs w:val="44"/>
    </w:rPr>
  </w:style>
  <w:style w:type="paragraph" w:styleId="3">
    <w:name w:val="heading 2"/>
    <w:basedOn w:val="1"/>
    <w:next w:val="1"/>
    <w:link w:val="15"/>
    <w:unhideWhenUsed/>
    <w:qFormat/>
    <w:uiPriority w:val="9"/>
    <w:pPr>
      <w:keepNext/>
      <w:keepLines/>
      <w:ind w:firstLine="0" w:firstLineChars="0"/>
      <w:jc w:val="left"/>
      <w:outlineLvl w:val="1"/>
    </w:pPr>
    <w:rPr>
      <w:rFonts w:eastAsia="黑体" w:cstheme="majorBidi"/>
      <w:b/>
      <w:bCs/>
      <w:szCs w:val="32"/>
    </w:rPr>
  </w:style>
  <w:style w:type="character" w:default="1" w:styleId="8">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4">
    <w:name w:val="footer"/>
    <w:basedOn w:val="1"/>
    <w:link w:val="11"/>
    <w:unhideWhenUsed/>
    <w:uiPriority w:val="99"/>
    <w:pPr>
      <w:tabs>
        <w:tab w:val="center" w:pos="4153"/>
        <w:tab w:val="right" w:pos="8306"/>
      </w:tabs>
      <w:snapToGrid w:val="0"/>
      <w:spacing w:line="240" w:lineRule="auto"/>
      <w:ind w:firstLine="0" w:firstLineChars="0"/>
      <w:jc w:val="left"/>
    </w:pPr>
    <w:rPr>
      <w:rFonts w:asciiTheme="minorHAnsi" w:hAnsiTheme="minorHAnsi" w:eastAsiaTheme="minorEastAsia"/>
      <w:sz w:val="18"/>
      <w:szCs w:val="18"/>
    </w:rPr>
  </w:style>
  <w:style w:type="paragraph" w:styleId="5">
    <w:name w:val="header"/>
    <w:basedOn w:val="1"/>
    <w:link w:val="10"/>
    <w:unhideWhenUsed/>
    <w:uiPriority w:val="99"/>
    <w:pPr>
      <w:pBdr>
        <w:bottom w:val="single" w:color="auto" w:sz="6" w:space="1"/>
      </w:pBdr>
      <w:tabs>
        <w:tab w:val="center" w:pos="4153"/>
        <w:tab w:val="right" w:pos="8306"/>
      </w:tabs>
      <w:snapToGrid w:val="0"/>
      <w:spacing w:line="240" w:lineRule="auto"/>
      <w:ind w:firstLine="0" w:firstLineChars="0"/>
      <w:jc w:val="center"/>
    </w:pPr>
    <w:rPr>
      <w:rFonts w:asciiTheme="minorHAnsi" w:hAnsiTheme="minorHAnsi" w:eastAsiaTheme="minorEastAsia"/>
      <w:sz w:val="18"/>
      <w:szCs w:val="18"/>
    </w:rPr>
  </w:style>
  <w:style w:type="table" w:styleId="7">
    <w:name w:val="Table Grid"/>
    <w:basedOn w:val="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qFormat/>
    <w:uiPriority w:val="22"/>
    <w:rPr>
      <w:b/>
      <w:bCs/>
    </w:rPr>
  </w:style>
  <w:style w:type="character" w:customStyle="1" w:styleId="10">
    <w:name w:val="页眉 字符"/>
    <w:basedOn w:val="8"/>
    <w:link w:val="5"/>
    <w:uiPriority w:val="99"/>
    <w:rPr>
      <w:sz w:val="18"/>
      <w:szCs w:val="18"/>
    </w:rPr>
  </w:style>
  <w:style w:type="character" w:customStyle="1" w:styleId="11">
    <w:name w:val="页脚 字符"/>
    <w:basedOn w:val="8"/>
    <w:link w:val="4"/>
    <w:uiPriority w:val="99"/>
    <w:rPr>
      <w:sz w:val="18"/>
      <w:szCs w:val="18"/>
    </w:rPr>
  </w:style>
  <w:style w:type="paragraph" w:styleId="12">
    <w:name w:val="List Paragraph"/>
    <w:basedOn w:val="1"/>
    <w:qFormat/>
    <w:uiPriority w:val="34"/>
    <w:pPr>
      <w:spacing w:line="240" w:lineRule="auto"/>
      <w:ind w:firstLine="420"/>
    </w:pPr>
    <w:rPr>
      <w:rFonts w:asciiTheme="minorHAnsi" w:hAnsiTheme="minorHAnsi" w:eastAsiaTheme="minorEastAsia"/>
      <w:sz w:val="21"/>
    </w:rPr>
  </w:style>
  <w:style w:type="paragraph" w:customStyle="1" w:styleId="13">
    <w:name w:val="样式1"/>
    <w:basedOn w:val="1"/>
    <w:qFormat/>
    <w:uiPriority w:val="0"/>
    <w:pPr>
      <w:numPr>
        <w:ilvl w:val="0"/>
        <w:numId w:val="1"/>
      </w:numPr>
      <w:spacing w:line="240" w:lineRule="auto"/>
      <w:ind w:left="420" w:firstLine="0" w:firstLineChars="0"/>
    </w:pPr>
    <w:rPr>
      <w:rFonts w:cs="Times New Roman"/>
      <w:sz w:val="21"/>
      <w:szCs w:val="24"/>
    </w:rPr>
  </w:style>
  <w:style w:type="character" w:customStyle="1" w:styleId="14">
    <w:name w:val="标题 1 字符"/>
    <w:basedOn w:val="8"/>
    <w:link w:val="2"/>
    <w:qFormat/>
    <w:uiPriority w:val="9"/>
    <w:rPr>
      <w:rFonts w:ascii="Times New Roman" w:hAnsi="Times New Roman" w:eastAsia="方正小标宋简体"/>
      <w:bCs/>
      <w:kern w:val="44"/>
      <w:sz w:val="32"/>
      <w:szCs w:val="44"/>
    </w:rPr>
  </w:style>
  <w:style w:type="character" w:customStyle="1" w:styleId="15">
    <w:name w:val="标题 2 字符"/>
    <w:basedOn w:val="8"/>
    <w:link w:val="3"/>
    <w:qFormat/>
    <w:uiPriority w:val="9"/>
    <w:rPr>
      <w:rFonts w:ascii="Times New Roman" w:hAnsi="Times New Roman" w:eastAsia="黑体" w:cstheme="majorBidi"/>
      <w:b/>
      <w:bCs/>
      <w:sz w:val="24"/>
      <w:szCs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688D64C-08C4-4E2B-AB93-8AAD4EDFE46A}">
  <ds:schemaRefs/>
</ds:datastoreItem>
</file>

<file path=docProps/app.xml><?xml version="1.0" encoding="utf-8"?>
<Properties xmlns="http://schemas.openxmlformats.org/officeDocument/2006/extended-properties" xmlns:vt="http://schemas.openxmlformats.org/officeDocument/2006/docPropsVTypes">
  <Template>Normal</Template>
  <Pages>4</Pages>
  <Words>360</Words>
  <Characters>2054</Characters>
  <Lines>17</Lines>
  <Paragraphs>4</Paragraphs>
  <TotalTime>36</TotalTime>
  <ScaleCrop>false</ScaleCrop>
  <LinksUpToDate>false</LinksUpToDate>
  <CharactersWithSpaces>2410</CharactersWithSpaces>
  <Application>WPS Office_11.1.0.10700_F1E327BC-269C-435d-A152-05C5408002CA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2019-09-24T09:46:00Z</dcterms:created>
  <dc:creator>user</dc:creator>
  <cp:lastModifiedBy>薛逸凡</cp:lastModifiedBy>
  <dcterms:modified xsi:type="dcterms:W3CDTF">2021-10-15T07:48:19Z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65600241016C49A99B089C8F43B8A8E7</vt:lpwstr>
  </property>
</Properties>
</file>