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C5A735">
      <w:pPr>
        <w:spacing w:after="156" w:afterLines="50"/>
        <w:jc w:val="center"/>
        <w:rPr>
          <w:rFonts w:hint="eastAsia" w:ascii="微软雅黑" w:hAnsi="微软雅黑" w:eastAsia="微软雅黑"/>
          <w:b/>
          <w:sz w:val="32"/>
        </w:rPr>
      </w:pPr>
      <w:r>
        <w:rPr>
          <w:rFonts w:hint="eastAsia" w:ascii="微软雅黑" w:hAnsi="微软雅黑" w:eastAsia="微软雅黑"/>
          <w:b/>
          <w:sz w:val="32"/>
        </w:rPr>
        <w:t>电气</w:t>
      </w:r>
      <w:r>
        <w:rPr>
          <w:rFonts w:ascii="微软雅黑" w:hAnsi="微软雅黑" w:eastAsia="微软雅黑"/>
          <w:b/>
          <w:sz w:val="32"/>
        </w:rPr>
        <w:t>工程学院</w:t>
      </w:r>
      <w:r>
        <w:rPr>
          <w:rFonts w:hint="eastAsia" w:ascii="微软雅黑" w:hAnsi="微软雅黑" w:eastAsia="微软雅黑"/>
          <w:b/>
          <w:sz w:val="32"/>
        </w:rPr>
        <w:t>2025年华为奖学金奖项信息及评定办法</w:t>
      </w:r>
    </w:p>
    <w:p w14:paraId="38B56C2E">
      <w:pPr>
        <w:spacing w:after="156" w:afterLines="50"/>
        <w:jc w:val="center"/>
        <w:rPr>
          <w:rFonts w:hint="eastAsia" w:ascii="微软雅黑" w:hAnsi="微软雅黑" w:eastAsia="微软雅黑"/>
          <w:b/>
          <w:sz w:val="32"/>
        </w:rPr>
      </w:pPr>
    </w:p>
    <w:tbl>
      <w:tblPr>
        <w:tblStyle w:val="4"/>
        <w:tblW w:w="992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2784"/>
        <w:gridCol w:w="1479"/>
        <w:gridCol w:w="1417"/>
        <w:gridCol w:w="1555"/>
        <w:gridCol w:w="1842"/>
      </w:tblGrid>
      <w:tr w14:paraId="55F3CC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851" w:type="dxa"/>
            <w:vAlign w:val="center"/>
          </w:tcPr>
          <w:p w14:paraId="27AC6AA1">
            <w:pPr>
              <w:widowControl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bookmarkStart w:id="0" w:name="_GoBack"/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序号</w:t>
            </w:r>
          </w:p>
        </w:tc>
        <w:tc>
          <w:tcPr>
            <w:tcW w:w="2784" w:type="dxa"/>
            <w:vAlign w:val="center"/>
          </w:tcPr>
          <w:p w14:paraId="1C837C2E">
            <w:pPr>
              <w:widowControl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奖项名称</w:t>
            </w:r>
          </w:p>
        </w:tc>
        <w:tc>
          <w:tcPr>
            <w:tcW w:w="1479" w:type="dxa"/>
            <w:vAlign w:val="center"/>
          </w:tcPr>
          <w:p w14:paraId="36FF7215">
            <w:pPr>
              <w:widowControl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评选对象</w:t>
            </w:r>
          </w:p>
        </w:tc>
        <w:tc>
          <w:tcPr>
            <w:tcW w:w="1417" w:type="dxa"/>
            <w:vAlign w:val="center"/>
          </w:tcPr>
          <w:p w14:paraId="7B3FB471">
            <w:pPr>
              <w:widowControl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奖励人数</w:t>
            </w:r>
          </w:p>
        </w:tc>
        <w:tc>
          <w:tcPr>
            <w:tcW w:w="1555" w:type="dxa"/>
            <w:vAlign w:val="center"/>
          </w:tcPr>
          <w:p w14:paraId="55FA5B0B">
            <w:pPr>
              <w:widowControl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奖项类别</w:t>
            </w:r>
          </w:p>
        </w:tc>
        <w:tc>
          <w:tcPr>
            <w:tcW w:w="1842" w:type="dxa"/>
            <w:vAlign w:val="center"/>
          </w:tcPr>
          <w:p w14:paraId="0083A8EA">
            <w:pPr>
              <w:widowControl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奖励金额/人</w:t>
            </w:r>
          </w:p>
        </w:tc>
      </w:tr>
      <w:tr w14:paraId="15796E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851" w:type="dxa"/>
            <w:vAlign w:val="center"/>
          </w:tcPr>
          <w:p w14:paraId="33FD0C07">
            <w:pPr>
              <w:widowControl/>
              <w:jc w:val="center"/>
              <w:rPr>
                <w:rFonts w:hint="eastAsia" w:asciiTheme="minorEastAsia" w:hAnsiTheme="minorEastAsia" w:eastAsia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784" w:type="dxa"/>
            <w:vAlign w:val="center"/>
          </w:tcPr>
          <w:p w14:paraId="0DC3284F">
            <w:pPr>
              <w:widowControl/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</w:rPr>
              <w:t>华为奖学金一等奖</w:t>
            </w:r>
          </w:p>
        </w:tc>
        <w:tc>
          <w:tcPr>
            <w:tcW w:w="1479" w:type="dxa"/>
            <w:vAlign w:val="center"/>
          </w:tcPr>
          <w:p w14:paraId="12EE2848">
            <w:pPr>
              <w:widowControl/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</w:rPr>
              <w:t>硕、博</w:t>
            </w:r>
          </w:p>
        </w:tc>
        <w:tc>
          <w:tcPr>
            <w:tcW w:w="1417" w:type="dxa"/>
            <w:vAlign w:val="center"/>
          </w:tcPr>
          <w:p w14:paraId="558C13DE">
            <w:pPr>
              <w:widowControl/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2</w:t>
            </w:r>
          </w:p>
        </w:tc>
        <w:tc>
          <w:tcPr>
            <w:tcW w:w="1555" w:type="dxa"/>
            <w:vAlign w:val="center"/>
          </w:tcPr>
          <w:p w14:paraId="79E310F3">
            <w:pPr>
              <w:widowControl/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</w:rPr>
              <w:t>奖</w:t>
            </w:r>
          </w:p>
        </w:tc>
        <w:tc>
          <w:tcPr>
            <w:tcW w:w="1842" w:type="dxa"/>
            <w:vAlign w:val="center"/>
          </w:tcPr>
          <w:p w14:paraId="170E2A4C">
            <w:pPr>
              <w:widowControl/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</w:rPr>
              <w:t>5000</w:t>
            </w:r>
          </w:p>
        </w:tc>
      </w:tr>
      <w:tr w14:paraId="385792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851" w:type="dxa"/>
            <w:vAlign w:val="center"/>
          </w:tcPr>
          <w:p w14:paraId="04444DC3">
            <w:pPr>
              <w:widowControl/>
              <w:jc w:val="center"/>
              <w:rPr>
                <w:rFonts w:hint="eastAsia" w:asciiTheme="minorEastAsia" w:hAnsiTheme="minorEastAsia" w:eastAsia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2784" w:type="dxa"/>
            <w:vAlign w:val="center"/>
          </w:tcPr>
          <w:p w14:paraId="4B67D20F">
            <w:pPr>
              <w:widowControl/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</w:rPr>
              <w:t>华为奖学金二等奖</w:t>
            </w:r>
          </w:p>
        </w:tc>
        <w:tc>
          <w:tcPr>
            <w:tcW w:w="1479" w:type="dxa"/>
            <w:vAlign w:val="center"/>
          </w:tcPr>
          <w:p w14:paraId="68F26755">
            <w:pPr>
              <w:widowControl/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</w:rPr>
              <w:t>硕、博</w:t>
            </w:r>
          </w:p>
        </w:tc>
        <w:tc>
          <w:tcPr>
            <w:tcW w:w="1417" w:type="dxa"/>
            <w:vAlign w:val="center"/>
          </w:tcPr>
          <w:p w14:paraId="36731892">
            <w:pPr>
              <w:widowControl/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4</w:t>
            </w:r>
          </w:p>
        </w:tc>
        <w:tc>
          <w:tcPr>
            <w:tcW w:w="1555" w:type="dxa"/>
            <w:vAlign w:val="center"/>
          </w:tcPr>
          <w:p w14:paraId="78827A11">
            <w:pPr>
              <w:widowControl/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</w:rPr>
              <w:t>奖</w:t>
            </w:r>
          </w:p>
        </w:tc>
        <w:tc>
          <w:tcPr>
            <w:tcW w:w="1842" w:type="dxa"/>
            <w:vAlign w:val="center"/>
          </w:tcPr>
          <w:p w14:paraId="4091E6FF">
            <w:pPr>
              <w:widowControl/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</w:rPr>
              <w:t>3000</w:t>
            </w:r>
          </w:p>
        </w:tc>
      </w:tr>
      <w:bookmarkEnd w:id="0"/>
    </w:tbl>
    <w:p w14:paraId="62273912">
      <w:pPr>
        <w:spacing w:after="156" w:afterLines="50" w:line="360" w:lineRule="auto"/>
        <w:jc w:val="center"/>
        <w:rPr>
          <w:rStyle w:val="6"/>
          <w:rFonts w:hint="eastAsia"/>
          <w:b w:val="0"/>
        </w:rPr>
      </w:pPr>
    </w:p>
    <w:p w14:paraId="48CE04F3">
      <w:pPr>
        <w:spacing w:after="156" w:afterLines="50" w:line="360" w:lineRule="auto"/>
        <w:jc w:val="center"/>
        <w:rPr>
          <w:rStyle w:val="6"/>
          <w:b w:val="0"/>
        </w:rPr>
      </w:pPr>
      <w:r>
        <w:rPr>
          <w:rStyle w:val="6"/>
          <w:rFonts w:hint="eastAsia"/>
          <w:b w:val="0"/>
        </w:rPr>
        <w:t>西南交通大学“华为”奖学金评定办法</w:t>
      </w:r>
    </w:p>
    <w:p w14:paraId="22A0B99E">
      <w:pPr>
        <w:spacing w:before="156" w:beforeLines="50" w:after="156" w:afterLines="50" w:line="400" w:lineRule="exact"/>
        <w:ind w:firstLine="480" w:firstLineChars="200"/>
        <w:rPr>
          <w:rFonts w:cs="宋体" w:asciiTheme="minorEastAsia" w:hAnsiTheme="minorEastAsia"/>
          <w:sz w:val="24"/>
          <w:szCs w:val="24"/>
        </w:rPr>
      </w:pPr>
      <w:r>
        <w:rPr>
          <w:rFonts w:hint="eastAsia" w:cs="宋体" w:asciiTheme="minorEastAsia" w:hAnsiTheme="minorEastAsia"/>
          <w:sz w:val="24"/>
          <w:szCs w:val="24"/>
        </w:rPr>
        <w:t>为激励学生和勤奋学习、刻苦钻研、献身教育和科技事业，深圳华为技术有限公司决定在西南交通大学设立“华为”奖学金。</w:t>
      </w:r>
    </w:p>
    <w:p w14:paraId="0AFDA5FD">
      <w:pPr>
        <w:spacing w:before="156" w:beforeLines="50" w:after="156" w:afterLines="50" w:line="400" w:lineRule="exact"/>
        <w:rPr>
          <w:rFonts w:cs="宋体" w:asciiTheme="minorEastAsia" w:hAnsiTheme="minorEastAsia"/>
          <w:b/>
          <w:sz w:val="24"/>
          <w:szCs w:val="24"/>
        </w:rPr>
      </w:pPr>
      <w:r>
        <w:rPr>
          <w:rFonts w:cs="Calibri" w:asciiTheme="minorEastAsia" w:hAnsiTheme="minorEastAsia"/>
          <w:b/>
          <w:sz w:val="24"/>
          <w:szCs w:val="24"/>
        </w:rPr>
        <w:t> </w:t>
      </w:r>
      <w:r>
        <w:rPr>
          <w:rFonts w:hint="eastAsia" w:cs="宋体" w:asciiTheme="minorEastAsia" w:hAnsiTheme="minorEastAsia"/>
          <w:b/>
          <w:sz w:val="24"/>
          <w:szCs w:val="24"/>
        </w:rPr>
        <w:t>一、评选范围及条件</w:t>
      </w:r>
    </w:p>
    <w:p w14:paraId="3FD5883E">
      <w:pPr>
        <w:spacing w:before="156" w:beforeLines="50" w:after="156" w:afterLines="50" w:line="400" w:lineRule="exact"/>
        <w:ind w:firstLine="480" w:firstLineChars="200"/>
        <w:rPr>
          <w:rFonts w:cs="宋体" w:asciiTheme="minorEastAsia" w:hAnsiTheme="minorEastAsia"/>
          <w:sz w:val="24"/>
          <w:szCs w:val="24"/>
        </w:rPr>
      </w:pPr>
      <w:r>
        <w:rPr>
          <w:rFonts w:hint="eastAsia" w:cs="宋体" w:asciiTheme="minorEastAsia" w:hAnsiTheme="minorEastAsia"/>
          <w:sz w:val="24"/>
          <w:szCs w:val="24"/>
        </w:rPr>
        <w:t>奖学金主要用于奖励信息科学与技术学院和电气工程学院在读的德、智、体全面发展、品学兼优的研究生。</w:t>
      </w:r>
    </w:p>
    <w:p w14:paraId="7DD8883D">
      <w:pPr>
        <w:spacing w:before="156" w:beforeLines="50" w:after="156" w:afterLines="50" w:line="400" w:lineRule="exact"/>
        <w:rPr>
          <w:rFonts w:cs="宋体" w:asciiTheme="minorEastAsia" w:hAnsiTheme="minorEastAsia"/>
          <w:b/>
          <w:sz w:val="24"/>
          <w:szCs w:val="24"/>
        </w:rPr>
      </w:pPr>
      <w:r>
        <w:rPr>
          <w:rFonts w:hint="eastAsia" w:cs="宋体" w:asciiTheme="minorEastAsia" w:hAnsiTheme="minorEastAsia"/>
          <w:b/>
          <w:sz w:val="24"/>
          <w:szCs w:val="24"/>
        </w:rPr>
        <w:t>二、奖励人数及金额</w:t>
      </w:r>
    </w:p>
    <w:p w14:paraId="76EF8491">
      <w:pPr>
        <w:spacing w:before="156" w:beforeLines="50" w:after="156" w:afterLines="50" w:line="400" w:lineRule="exact"/>
        <w:ind w:firstLine="480" w:firstLineChars="200"/>
        <w:rPr>
          <w:rFonts w:cs="宋体" w:asciiTheme="minorEastAsia" w:hAnsiTheme="minorEastAsia"/>
          <w:sz w:val="24"/>
          <w:szCs w:val="24"/>
        </w:rPr>
      </w:pPr>
      <w:r>
        <w:rPr>
          <w:rFonts w:hint="eastAsia" w:cs="宋体" w:asciiTheme="minorEastAsia" w:hAnsiTheme="minorEastAsia"/>
          <w:sz w:val="24"/>
          <w:szCs w:val="24"/>
        </w:rPr>
        <w:t>奖励电气学院研究生6人，其中：华为一等奖2人，每人5000元；华为二等奖4人，每人3000元。</w:t>
      </w:r>
    </w:p>
    <w:p w14:paraId="5DBDAAFB">
      <w:pPr>
        <w:spacing w:before="156" w:beforeLines="50" w:after="156" w:afterLines="50" w:line="400" w:lineRule="exact"/>
        <w:rPr>
          <w:rFonts w:cs="宋体" w:asciiTheme="minorEastAsia" w:hAnsiTheme="minorEastAsia"/>
          <w:b/>
          <w:sz w:val="24"/>
          <w:szCs w:val="24"/>
        </w:rPr>
      </w:pPr>
      <w:r>
        <w:rPr>
          <w:rFonts w:hint="eastAsia" w:cs="宋体" w:asciiTheme="minorEastAsia" w:hAnsiTheme="minorEastAsia"/>
          <w:b/>
          <w:sz w:val="24"/>
          <w:szCs w:val="24"/>
        </w:rPr>
        <w:t>三、评选办法</w:t>
      </w:r>
    </w:p>
    <w:p w14:paraId="50554636">
      <w:pPr>
        <w:spacing w:before="156" w:beforeLines="50" w:after="156" w:afterLines="50" w:line="400" w:lineRule="exact"/>
        <w:ind w:firstLine="480" w:firstLineChars="200"/>
        <w:rPr>
          <w:rFonts w:cs="宋体" w:asciiTheme="minorEastAsia" w:hAnsiTheme="minorEastAsia"/>
          <w:sz w:val="24"/>
          <w:szCs w:val="24"/>
        </w:rPr>
      </w:pPr>
      <w:r>
        <w:rPr>
          <w:rFonts w:hint="eastAsia" w:cs="宋体" w:asciiTheme="minorEastAsia" w:hAnsiTheme="minorEastAsia"/>
          <w:sz w:val="24"/>
          <w:szCs w:val="24"/>
        </w:rPr>
        <w:t>申请及评奖程序按学校相关奖助学金评审管理办法执行。</w:t>
      </w:r>
    </w:p>
    <w:p w14:paraId="52CEEFFA">
      <w:pPr>
        <w:rPr>
          <w:rFonts w:asciiTheme="minorEastAsia" w:hAnsiTheme="minorEastAsia"/>
        </w:rPr>
      </w:pPr>
    </w:p>
    <w:p w14:paraId="5B705D86"/>
    <w:sectPr>
      <w:pgSz w:w="11906" w:h="16838"/>
      <w:pgMar w:top="1247" w:right="1418" w:bottom="794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89628AC"/>
    <w:rsid w:val="02D258B8"/>
    <w:rsid w:val="032E65A5"/>
    <w:rsid w:val="07860544"/>
    <w:rsid w:val="09531CAD"/>
    <w:rsid w:val="108F2C55"/>
    <w:rsid w:val="15E87297"/>
    <w:rsid w:val="195C3C68"/>
    <w:rsid w:val="19A67B26"/>
    <w:rsid w:val="1CF9660D"/>
    <w:rsid w:val="22554E05"/>
    <w:rsid w:val="2D8D5081"/>
    <w:rsid w:val="2EA61C9E"/>
    <w:rsid w:val="307C6E51"/>
    <w:rsid w:val="33B05F80"/>
    <w:rsid w:val="33DD6EBA"/>
    <w:rsid w:val="33EF5F9B"/>
    <w:rsid w:val="36D34F37"/>
    <w:rsid w:val="49177557"/>
    <w:rsid w:val="4E520837"/>
    <w:rsid w:val="57632373"/>
    <w:rsid w:val="5784502C"/>
    <w:rsid w:val="589628AC"/>
    <w:rsid w:val="59FC1CFA"/>
    <w:rsid w:val="62F2710A"/>
    <w:rsid w:val="67B1414D"/>
    <w:rsid w:val="69686497"/>
    <w:rsid w:val="6D4E6F71"/>
    <w:rsid w:val="722D2C05"/>
    <w:rsid w:val="7B4964F7"/>
    <w:rsid w:val="7BD21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6"/>
    <w:qFormat/>
    <w:uiPriority w:val="9"/>
    <w:pPr>
      <w:keepNext/>
      <w:keepLines/>
      <w:widowControl/>
      <w:adjustRightInd w:val="0"/>
      <w:snapToGrid w:val="0"/>
      <w:spacing w:before="340" w:after="330" w:line="578" w:lineRule="auto"/>
      <w:jc w:val="center"/>
      <w:outlineLvl w:val="0"/>
    </w:pPr>
    <w:rPr>
      <w:rFonts w:ascii="Tahoma" w:hAnsi="Tahoma" w:eastAsia="黑体" w:cs="Times New Roman"/>
      <w:b/>
      <w:bCs/>
      <w:kern w:val="44"/>
      <w:sz w:val="32"/>
      <w:szCs w:val="44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">
    <w:name w:val="标题 1 字符"/>
    <w:basedOn w:val="5"/>
    <w:link w:val="2"/>
    <w:qFormat/>
    <w:uiPriority w:val="9"/>
    <w:rPr>
      <w:rFonts w:ascii="Tahoma" w:hAnsi="Tahoma" w:eastAsia="黑体" w:cs="Times New Roman"/>
      <w:b/>
      <w:bCs/>
      <w:kern w:val="44"/>
      <w:sz w:val="32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23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2025-12-01T09:24:00Z</dcterms:created>
  <dc:creator>王丽</dc:creator>
  <cp:lastModifiedBy>王丽</cp:lastModifiedBy>
  <dcterms:modified xsi:type="dcterms:W3CDTF">2025-12-01T10:49:00Z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B456B13BA6374868A364067516F6DDD2_11</vt:lpwstr>
  </property>
  <property fmtid="{D5CDD505-2E9C-101B-9397-08002B2CF9AE}" pid="4" name="KSOTemplateDocerSaveRecord">
    <vt:lpwstr>eyJoZGlkIjoiMjJlMDIxZjA0YmYxM2ZhMzFjM2ViNmZlMThiMzhjNjgiLCJ1c2VySWQiOiI3ODI0NzAzMjIifQ==</vt:lpwstr>
  </property>
</Properties>
</file>