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528" w:tblpY="1576"/>
        <w:tblW w:w="9694" w:type="dxa"/>
        <w:tblLayout w:type="fixed"/>
        <w:tblLook w:val="04A0" w:firstRow="1" w:lastRow="0" w:firstColumn="1" w:lastColumn="0" w:noHBand="0" w:noVBand="1"/>
      </w:tblPr>
      <w:tblGrid>
        <w:gridCol w:w="1582"/>
        <w:gridCol w:w="2327"/>
        <w:gridCol w:w="1834"/>
        <w:gridCol w:w="3951"/>
      </w:tblGrid>
      <w:tr w:rsidR="000F33B2" w:rsidRPr="003F7766" w14:paraId="4F416A25" w14:textId="77777777" w:rsidTr="000F33B2">
        <w:trPr>
          <w:trHeight w:val="685"/>
        </w:trPr>
        <w:tc>
          <w:tcPr>
            <w:tcW w:w="1582" w:type="dxa"/>
            <w:tcBorders>
              <w:top w:val="single" w:sz="4" w:space="0" w:color="auto"/>
              <w:left w:val="single" w:sz="4" w:space="0" w:color="auto"/>
              <w:bottom w:val="single" w:sz="4" w:space="0" w:color="auto"/>
              <w:right w:val="single" w:sz="4" w:space="0" w:color="auto"/>
            </w:tcBorders>
            <w:noWrap/>
            <w:vAlign w:val="center"/>
            <w:hideMark/>
          </w:tcPr>
          <w:p w14:paraId="67999C15"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答辩人：</w:t>
            </w:r>
          </w:p>
        </w:tc>
        <w:tc>
          <w:tcPr>
            <w:tcW w:w="2327" w:type="dxa"/>
            <w:tcBorders>
              <w:top w:val="single" w:sz="4" w:space="0" w:color="auto"/>
              <w:left w:val="nil"/>
              <w:bottom w:val="single" w:sz="4" w:space="0" w:color="auto"/>
              <w:right w:val="single" w:sz="4" w:space="0" w:color="auto"/>
            </w:tcBorders>
            <w:noWrap/>
            <w:vAlign w:val="center"/>
            <w:hideMark/>
          </w:tcPr>
          <w:p w14:paraId="0B05BF1A" w14:textId="58C9FE95" w:rsidR="000F33B2" w:rsidRPr="003F7766" w:rsidRDefault="00B40EAB" w:rsidP="004135BB">
            <w:pPr>
              <w:widowControl/>
              <w:jc w:val="left"/>
              <w:rPr>
                <w:rFonts w:ascii="宋体" w:eastAsia="宋体" w:hAnsi="宋体" w:cs="宋体" w:hint="eastAsia"/>
                <w:b/>
                <w:color w:val="000000"/>
                <w:kern w:val="0"/>
                <w:sz w:val="28"/>
                <w:szCs w:val="28"/>
              </w:rPr>
            </w:pPr>
            <w:r>
              <w:rPr>
                <w:rFonts w:ascii="宋体" w:eastAsia="宋体" w:hAnsi="宋体" w:cs="宋体" w:hint="eastAsia"/>
                <w:b/>
                <w:color w:val="000000"/>
                <w:kern w:val="0"/>
                <w:sz w:val="28"/>
                <w:szCs w:val="28"/>
              </w:rPr>
              <w:t>王述</w:t>
            </w:r>
          </w:p>
        </w:tc>
        <w:tc>
          <w:tcPr>
            <w:tcW w:w="1834" w:type="dxa"/>
            <w:tcBorders>
              <w:top w:val="single" w:sz="4" w:space="0" w:color="auto"/>
              <w:left w:val="nil"/>
              <w:bottom w:val="single" w:sz="4" w:space="0" w:color="auto"/>
              <w:right w:val="single" w:sz="4" w:space="0" w:color="auto"/>
            </w:tcBorders>
            <w:noWrap/>
            <w:vAlign w:val="center"/>
            <w:hideMark/>
          </w:tcPr>
          <w:p w14:paraId="76810A61"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导</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师：</w:t>
            </w:r>
          </w:p>
        </w:tc>
        <w:tc>
          <w:tcPr>
            <w:tcW w:w="3951" w:type="dxa"/>
            <w:tcBorders>
              <w:top w:val="single" w:sz="4" w:space="0" w:color="auto"/>
              <w:left w:val="nil"/>
              <w:bottom w:val="single" w:sz="4" w:space="0" w:color="auto"/>
              <w:right w:val="single" w:sz="4" w:space="0" w:color="auto"/>
            </w:tcBorders>
            <w:noWrap/>
            <w:vAlign w:val="center"/>
            <w:hideMark/>
          </w:tcPr>
          <w:p w14:paraId="4F782572" w14:textId="583873F7" w:rsidR="000F33B2" w:rsidRPr="003F7766" w:rsidRDefault="00B40EAB" w:rsidP="000F33B2">
            <w:pPr>
              <w:widowControl/>
              <w:jc w:val="left"/>
              <w:rPr>
                <w:rFonts w:ascii="宋体" w:eastAsia="宋体" w:hAnsi="宋体" w:cs="宋体" w:hint="eastAsia"/>
                <w:color w:val="000000"/>
                <w:kern w:val="0"/>
                <w:sz w:val="24"/>
                <w:szCs w:val="24"/>
              </w:rPr>
            </w:pPr>
            <w:r w:rsidRPr="004135BB">
              <w:rPr>
                <w:rFonts w:ascii="宋体" w:eastAsia="宋体" w:hAnsi="宋体" w:cs="宋体" w:hint="eastAsia"/>
                <w:b/>
                <w:color w:val="000000"/>
                <w:kern w:val="0"/>
                <w:sz w:val="28"/>
                <w:szCs w:val="28"/>
              </w:rPr>
              <w:t>刘盾</w:t>
            </w:r>
          </w:p>
        </w:tc>
      </w:tr>
      <w:tr w:rsidR="000F33B2" w:rsidRPr="003F7766" w14:paraId="017A4CD6" w14:textId="77777777" w:rsidTr="000F33B2">
        <w:trPr>
          <w:trHeight w:val="678"/>
        </w:trPr>
        <w:tc>
          <w:tcPr>
            <w:tcW w:w="1582" w:type="dxa"/>
            <w:tcBorders>
              <w:top w:val="nil"/>
              <w:left w:val="single" w:sz="4" w:space="0" w:color="auto"/>
              <w:bottom w:val="single" w:sz="4" w:space="0" w:color="auto"/>
              <w:right w:val="single" w:sz="4" w:space="0" w:color="auto"/>
            </w:tcBorders>
            <w:noWrap/>
            <w:vAlign w:val="center"/>
            <w:hideMark/>
          </w:tcPr>
          <w:p w14:paraId="1B91DE37"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专</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业：</w:t>
            </w:r>
          </w:p>
        </w:tc>
        <w:tc>
          <w:tcPr>
            <w:tcW w:w="2327" w:type="dxa"/>
            <w:tcBorders>
              <w:top w:val="nil"/>
              <w:left w:val="nil"/>
              <w:bottom w:val="single" w:sz="4" w:space="0" w:color="auto"/>
              <w:right w:val="single" w:sz="4" w:space="0" w:color="auto"/>
            </w:tcBorders>
            <w:noWrap/>
            <w:vAlign w:val="center"/>
            <w:hideMark/>
          </w:tcPr>
          <w:p w14:paraId="4606B67A" w14:textId="65523A7A" w:rsidR="000F33B2" w:rsidRPr="003F7766" w:rsidRDefault="00B40EAB" w:rsidP="000F33B2">
            <w:pPr>
              <w:widowControl/>
              <w:jc w:val="left"/>
              <w:rPr>
                <w:rFonts w:ascii="宋体" w:eastAsia="宋体" w:hAnsi="宋体" w:cs="宋体" w:hint="eastAsia"/>
                <w:b/>
                <w:color w:val="000000"/>
                <w:kern w:val="0"/>
                <w:sz w:val="28"/>
                <w:szCs w:val="28"/>
              </w:rPr>
            </w:pPr>
            <w:r>
              <w:rPr>
                <w:rFonts w:ascii="宋体" w:eastAsia="宋体" w:hAnsi="宋体" w:cs="宋体" w:hint="eastAsia"/>
                <w:b/>
                <w:color w:val="000000"/>
                <w:kern w:val="0"/>
                <w:sz w:val="28"/>
                <w:szCs w:val="28"/>
              </w:rPr>
              <w:t>管理科学与工程</w:t>
            </w:r>
          </w:p>
        </w:tc>
        <w:tc>
          <w:tcPr>
            <w:tcW w:w="1834" w:type="dxa"/>
            <w:tcBorders>
              <w:top w:val="nil"/>
              <w:left w:val="nil"/>
              <w:bottom w:val="single" w:sz="4" w:space="0" w:color="auto"/>
              <w:right w:val="single" w:sz="4" w:space="0" w:color="auto"/>
            </w:tcBorders>
            <w:noWrap/>
            <w:vAlign w:val="center"/>
            <w:hideMark/>
          </w:tcPr>
          <w:p w14:paraId="0A933FA3" w14:textId="77777777" w:rsidR="000F33B2" w:rsidRPr="003F7766" w:rsidRDefault="000F33B2" w:rsidP="000F33B2">
            <w:pPr>
              <w:widowControl/>
              <w:jc w:val="left"/>
              <w:rPr>
                <w:rFonts w:ascii="宋体" w:eastAsia="宋体" w:hAnsi="宋体" w:cs="宋体" w:hint="eastAsia"/>
                <w:b/>
                <w:color w:val="000000"/>
                <w:kern w:val="0"/>
                <w:sz w:val="28"/>
                <w:szCs w:val="28"/>
              </w:rPr>
            </w:pPr>
            <w:r w:rsidRPr="00CA3673">
              <w:rPr>
                <w:rFonts w:ascii="宋体" w:eastAsia="宋体" w:hAnsi="宋体" w:cs="宋体" w:hint="eastAsia"/>
                <w:b/>
                <w:color w:val="000000"/>
                <w:kern w:val="0"/>
                <w:sz w:val="28"/>
                <w:szCs w:val="28"/>
              </w:rPr>
              <w:t>研究方</w:t>
            </w:r>
            <w:r w:rsidRPr="003F7766">
              <w:rPr>
                <w:rFonts w:ascii="宋体" w:eastAsia="宋体" w:hAnsi="宋体" w:cs="宋体" w:hint="eastAsia"/>
                <w:b/>
                <w:color w:val="000000"/>
                <w:kern w:val="0"/>
                <w:sz w:val="28"/>
                <w:szCs w:val="28"/>
              </w:rPr>
              <w:t>向：</w:t>
            </w:r>
          </w:p>
        </w:tc>
        <w:tc>
          <w:tcPr>
            <w:tcW w:w="3951" w:type="dxa"/>
            <w:tcBorders>
              <w:top w:val="nil"/>
              <w:left w:val="nil"/>
              <w:bottom w:val="single" w:sz="4" w:space="0" w:color="auto"/>
              <w:right w:val="single" w:sz="4" w:space="0" w:color="auto"/>
            </w:tcBorders>
            <w:noWrap/>
            <w:vAlign w:val="center"/>
            <w:hideMark/>
          </w:tcPr>
          <w:p w14:paraId="4DFD1779" w14:textId="08C5C2C5" w:rsidR="000F33B2" w:rsidRPr="003F7766" w:rsidRDefault="00B40EAB" w:rsidP="000F33B2">
            <w:pPr>
              <w:widowControl/>
              <w:jc w:val="left"/>
              <w:rPr>
                <w:rFonts w:ascii="宋体" w:eastAsia="宋体" w:hAnsi="宋体" w:cs="宋体" w:hint="eastAsia"/>
                <w:color w:val="000000"/>
                <w:kern w:val="0"/>
                <w:sz w:val="24"/>
                <w:szCs w:val="24"/>
              </w:rPr>
            </w:pPr>
            <w:r w:rsidRPr="004135BB">
              <w:rPr>
                <w:rFonts w:ascii="宋体" w:eastAsia="宋体" w:hAnsi="宋体" w:cs="宋体" w:hint="eastAsia"/>
                <w:b/>
                <w:color w:val="000000"/>
                <w:kern w:val="0"/>
                <w:sz w:val="28"/>
                <w:szCs w:val="28"/>
              </w:rPr>
              <w:t>物流供应链与运营管理</w:t>
            </w:r>
          </w:p>
        </w:tc>
      </w:tr>
      <w:tr w:rsidR="000F33B2" w:rsidRPr="003F7766" w14:paraId="54DEAE14" w14:textId="77777777" w:rsidTr="000F33B2">
        <w:trPr>
          <w:trHeight w:val="678"/>
        </w:trPr>
        <w:tc>
          <w:tcPr>
            <w:tcW w:w="1582" w:type="dxa"/>
            <w:tcBorders>
              <w:top w:val="nil"/>
              <w:left w:val="single" w:sz="4" w:space="0" w:color="auto"/>
              <w:bottom w:val="single" w:sz="4" w:space="0" w:color="auto"/>
              <w:right w:val="single" w:sz="4" w:space="0" w:color="auto"/>
            </w:tcBorders>
            <w:noWrap/>
            <w:vAlign w:val="center"/>
            <w:hideMark/>
          </w:tcPr>
          <w:p w14:paraId="4BE252FB" w14:textId="77777777" w:rsidR="000F33B2" w:rsidRPr="003F7766" w:rsidRDefault="000F33B2" w:rsidP="000F33B2">
            <w:pPr>
              <w:widowControl/>
              <w:jc w:val="left"/>
              <w:rPr>
                <w:rFonts w:ascii="宋体" w:eastAsia="宋体" w:hAnsi="宋体" w:cs="宋体" w:hint="eastAsia"/>
                <w:b/>
                <w:color w:val="000000"/>
                <w:kern w:val="0"/>
                <w:sz w:val="28"/>
                <w:szCs w:val="28"/>
              </w:rPr>
            </w:pPr>
            <w:r>
              <w:rPr>
                <w:rFonts w:ascii="宋体" w:eastAsia="宋体" w:hAnsi="宋体" w:cs="宋体" w:hint="eastAsia"/>
                <w:b/>
                <w:color w:val="000000"/>
                <w:kern w:val="0"/>
                <w:sz w:val="28"/>
                <w:szCs w:val="28"/>
              </w:rPr>
              <w:t>论文题目：</w:t>
            </w:r>
          </w:p>
        </w:tc>
        <w:tc>
          <w:tcPr>
            <w:tcW w:w="8112" w:type="dxa"/>
            <w:gridSpan w:val="3"/>
            <w:tcBorders>
              <w:top w:val="nil"/>
              <w:left w:val="nil"/>
              <w:bottom w:val="single" w:sz="4" w:space="0" w:color="auto"/>
              <w:right w:val="single" w:sz="4" w:space="0" w:color="auto"/>
            </w:tcBorders>
            <w:noWrap/>
            <w:vAlign w:val="center"/>
            <w:hideMark/>
          </w:tcPr>
          <w:p w14:paraId="44964B97" w14:textId="63428C81" w:rsidR="000F33B2" w:rsidRPr="003F7766" w:rsidRDefault="00B40EAB" w:rsidP="000F33B2">
            <w:pPr>
              <w:widowControl/>
              <w:jc w:val="left"/>
              <w:rPr>
                <w:rFonts w:ascii="宋体" w:eastAsia="宋体" w:hAnsi="宋体" w:cs="宋体" w:hint="eastAsia"/>
                <w:color w:val="000000"/>
                <w:kern w:val="0"/>
                <w:sz w:val="24"/>
                <w:szCs w:val="24"/>
              </w:rPr>
            </w:pPr>
            <w:r w:rsidRPr="004135BB">
              <w:rPr>
                <w:rFonts w:ascii="宋体" w:eastAsia="宋体" w:hAnsi="宋体" w:cs="宋体" w:hint="eastAsia"/>
                <w:b/>
                <w:color w:val="000000"/>
                <w:kern w:val="0"/>
                <w:sz w:val="28"/>
                <w:szCs w:val="28"/>
              </w:rPr>
              <w:t>需求信息不对称下制造商的多渠道销售策略研究</w:t>
            </w:r>
          </w:p>
        </w:tc>
      </w:tr>
      <w:tr w:rsidR="000F33B2" w:rsidRPr="003F7766" w14:paraId="28F8A695"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7DC92761" w14:textId="77777777" w:rsidR="000F33B2" w:rsidRPr="003F7766" w:rsidRDefault="000F33B2" w:rsidP="000F33B2">
            <w:pPr>
              <w:widowControl/>
              <w:jc w:val="center"/>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摘</w:t>
            </w:r>
            <w:r w:rsidRPr="00CA3673">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要</w:t>
            </w:r>
          </w:p>
        </w:tc>
      </w:tr>
      <w:tr w:rsidR="000F33B2" w:rsidRPr="003F7766" w14:paraId="1894CF94"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42C3E091" w14:textId="0361F1DF" w:rsidR="000F33B2" w:rsidRPr="008F2ED6" w:rsidRDefault="008F2ED6" w:rsidP="00667B79">
            <w:pPr>
              <w:widowControl/>
              <w:spacing w:line="300" w:lineRule="exact"/>
              <w:ind w:firstLineChars="200" w:firstLine="480"/>
              <w:rPr>
                <w:rFonts w:ascii="宋体" w:eastAsia="宋体" w:hAnsi="宋体" w:cs="宋体" w:hint="eastAsia"/>
                <w:bCs/>
                <w:color w:val="000000"/>
                <w:kern w:val="0"/>
                <w:sz w:val="24"/>
                <w:szCs w:val="24"/>
              </w:rPr>
            </w:pPr>
            <w:r w:rsidRPr="008F2ED6">
              <w:rPr>
                <w:rFonts w:ascii="宋体" w:eastAsia="宋体" w:hAnsi="宋体" w:cs="宋体" w:hint="eastAsia"/>
                <w:bCs/>
                <w:color w:val="000000"/>
                <w:kern w:val="0"/>
                <w:sz w:val="24"/>
                <w:szCs w:val="24"/>
              </w:rPr>
              <w:t>电子商务和新兴技术的发展</w:t>
            </w:r>
            <w:r w:rsidR="006601A7">
              <w:rPr>
                <w:rFonts w:ascii="宋体" w:eastAsia="宋体" w:hAnsi="宋体" w:cs="宋体" w:hint="eastAsia"/>
                <w:bCs/>
                <w:color w:val="000000"/>
                <w:kern w:val="0"/>
                <w:sz w:val="24"/>
                <w:szCs w:val="24"/>
              </w:rPr>
              <w:t>改变了</w:t>
            </w:r>
            <w:r w:rsidRPr="008F2ED6">
              <w:rPr>
                <w:rFonts w:ascii="宋体" w:eastAsia="宋体" w:hAnsi="宋体" w:cs="宋体" w:hint="eastAsia"/>
                <w:bCs/>
                <w:color w:val="000000"/>
                <w:kern w:val="0"/>
                <w:sz w:val="24"/>
                <w:szCs w:val="24"/>
              </w:rPr>
              <w:t>消费者的购物需求，制造商</w:t>
            </w:r>
            <w:r w:rsidR="00BD4DB2">
              <w:rPr>
                <w:rFonts w:ascii="宋体" w:eastAsia="宋体" w:hAnsi="宋体" w:cs="宋体" w:hint="eastAsia"/>
                <w:bCs/>
                <w:color w:val="000000"/>
                <w:kern w:val="0"/>
                <w:sz w:val="24"/>
                <w:szCs w:val="24"/>
              </w:rPr>
              <w:t>必须</w:t>
            </w:r>
            <w:r w:rsidRPr="008F2ED6">
              <w:rPr>
                <w:rFonts w:ascii="宋体" w:eastAsia="宋体" w:hAnsi="宋体" w:cs="宋体" w:hint="eastAsia"/>
                <w:bCs/>
                <w:color w:val="000000"/>
                <w:kern w:val="0"/>
                <w:sz w:val="24"/>
                <w:szCs w:val="24"/>
              </w:rPr>
              <w:t>做出渠道销售策略调整。在分销渠道上，制造商除了通过传统的转售模式销售产品，还可选择代理模式。</w:t>
            </w:r>
            <w:r w:rsidR="000F62FB">
              <w:rPr>
                <w:rFonts w:ascii="宋体" w:eastAsia="宋体" w:hAnsi="宋体" w:cs="宋体" w:hint="eastAsia"/>
                <w:bCs/>
                <w:color w:val="000000"/>
                <w:kern w:val="0"/>
                <w:sz w:val="24"/>
                <w:szCs w:val="24"/>
              </w:rPr>
              <w:t>此外，</w:t>
            </w:r>
            <w:r w:rsidRPr="008F2ED6">
              <w:rPr>
                <w:rFonts w:ascii="宋体" w:eastAsia="宋体" w:hAnsi="宋体" w:cs="宋体" w:hint="eastAsia"/>
                <w:bCs/>
                <w:color w:val="000000"/>
                <w:kern w:val="0"/>
                <w:sz w:val="24"/>
                <w:szCs w:val="24"/>
              </w:rPr>
              <w:t>制造商</w:t>
            </w:r>
            <w:r w:rsidR="000F62FB">
              <w:rPr>
                <w:rFonts w:ascii="宋体" w:eastAsia="宋体" w:hAnsi="宋体" w:cs="宋体" w:hint="eastAsia"/>
                <w:bCs/>
                <w:color w:val="000000"/>
                <w:kern w:val="0"/>
                <w:sz w:val="24"/>
                <w:szCs w:val="24"/>
              </w:rPr>
              <w:t>可能会</w:t>
            </w:r>
            <w:r w:rsidRPr="008F2ED6">
              <w:rPr>
                <w:rFonts w:ascii="宋体" w:eastAsia="宋体" w:hAnsi="宋体" w:cs="宋体" w:hint="eastAsia"/>
                <w:bCs/>
                <w:color w:val="000000"/>
                <w:kern w:val="0"/>
                <w:sz w:val="24"/>
                <w:szCs w:val="24"/>
              </w:rPr>
              <w:t>进行渠道入侵，开通直销渠道</w:t>
            </w:r>
            <w:r w:rsidR="000F62FB">
              <w:rPr>
                <w:rFonts w:ascii="宋体" w:eastAsia="宋体" w:hAnsi="宋体" w:cs="宋体" w:hint="eastAsia"/>
                <w:bCs/>
                <w:color w:val="000000"/>
                <w:kern w:val="0"/>
                <w:sz w:val="24"/>
                <w:szCs w:val="24"/>
              </w:rPr>
              <w:t>或引入直播渠道</w:t>
            </w:r>
            <w:r w:rsidRPr="008F2ED6">
              <w:rPr>
                <w:rFonts w:ascii="宋体" w:eastAsia="宋体" w:hAnsi="宋体" w:cs="宋体" w:hint="eastAsia"/>
                <w:bCs/>
                <w:color w:val="000000"/>
                <w:kern w:val="0"/>
                <w:sz w:val="24"/>
                <w:szCs w:val="24"/>
              </w:rPr>
              <w:t>。虽然拓展销售渠道可以直观上地提高市场渗透率和利润，但渠道间竞争导致的运营效率低下</w:t>
            </w:r>
            <w:r w:rsidR="006072B2">
              <w:rPr>
                <w:rFonts w:ascii="宋体" w:eastAsia="宋体" w:hAnsi="宋体" w:cs="宋体" w:hint="eastAsia"/>
                <w:bCs/>
                <w:color w:val="000000"/>
                <w:kern w:val="0"/>
                <w:sz w:val="24"/>
                <w:szCs w:val="24"/>
              </w:rPr>
              <w:t>和</w:t>
            </w:r>
            <w:r w:rsidRPr="008F2ED6">
              <w:rPr>
                <w:rFonts w:ascii="宋体" w:eastAsia="宋体" w:hAnsi="宋体" w:cs="宋体" w:hint="eastAsia"/>
                <w:bCs/>
                <w:color w:val="000000"/>
                <w:kern w:val="0"/>
                <w:sz w:val="24"/>
                <w:szCs w:val="24"/>
              </w:rPr>
              <w:t>下游零售商的行为模式对上游制造商决策的战略影响</w:t>
            </w:r>
            <w:r w:rsidR="00720E19">
              <w:rPr>
                <w:rFonts w:ascii="宋体" w:eastAsia="宋体" w:hAnsi="宋体" w:cs="宋体" w:hint="eastAsia"/>
                <w:bCs/>
                <w:color w:val="000000"/>
                <w:kern w:val="0"/>
                <w:sz w:val="24"/>
                <w:szCs w:val="24"/>
              </w:rPr>
              <w:t>有待考察</w:t>
            </w:r>
            <w:r w:rsidRPr="008F2ED6">
              <w:rPr>
                <w:rFonts w:ascii="宋体" w:eastAsia="宋体" w:hAnsi="宋体" w:cs="宋体" w:hint="eastAsia"/>
                <w:bCs/>
                <w:color w:val="000000"/>
                <w:kern w:val="0"/>
                <w:sz w:val="24"/>
                <w:szCs w:val="24"/>
              </w:rPr>
              <w:t>。本文从</w:t>
            </w:r>
            <w:r w:rsidR="00BD4DB2">
              <w:rPr>
                <w:rFonts w:ascii="宋体" w:eastAsia="宋体" w:hAnsi="宋体" w:cs="宋体" w:hint="eastAsia"/>
                <w:bCs/>
                <w:color w:val="000000"/>
                <w:kern w:val="0"/>
                <w:sz w:val="24"/>
                <w:szCs w:val="24"/>
              </w:rPr>
              <w:t>以下</w:t>
            </w:r>
            <w:r w:rsidRPr="008F2ED6">
              <w:rPr>
                <w:rFonts w:ascii="宋体" w:eastAsia="宋体" w:hAnsi="宋体" w:cs="宋体" w:hint="eastAsia"/>
                <w:bCs/>
                <w:color w:val="000000"/>
                <w:kern w:val="0"/>
                <w:sz w:val="24"/>
                <w:szCs w:val="24"/>
              </w:rPr>
              <w:t>四个方面探讨了</w:t>
            </w:r>
            <w:r w:rsidR="00BD4DB2">
              <w:rPr>
                <w:rFonts w:ascii="宋体" w:eastAsia="宋体" w:hAnsi="宋体" w:cs="宋体" w:hint="eastAsia"/>
                <w:bCs/>
                <w:color w:val="000000"/>
                <w:kern w:val="0"/>
                <w:sz w:val="24"/>
                <w:szCs w:val="24"/>
              </w:rPr>
              <w:t>多</w:t>
            </w:r>
            <w:r w:rsidR="003F5FFF">
              <w:rPr>
                <w:rFonts w:ascii="宋体" w:eastAsia="宋体" w:hAnsi="宋体" w:cs="宋体" w:hint="eastAsia"/>
                <w:bCs/>
                <w:color w:val="000000"/>
                <w:kern w:val="0"/>
                <w:sz w:val="24"/>
                <w:szCs w:val="24"/>
              </w:rPr>
              <w:t>渠道销售</w:t>
            </w:r>
            <w:r w:rsidRPr="008F2ED6">
              <w:rPr>
                <w:rFonts w:ascii="宋体" w:eastAsia="宋体" w:hAnsi="宋体" w:cs="宋体" w:hint="eastAsia"/>
                <w:bCs/>
                <w:color w:val="000000"/>
                <w:kern w:val="0"/>
                <w:sz w:val="24"/>
                <w:szCs w:val="24"/>
              </w:rPr>
              <w:t>问题。</w:t>
            </w:r>
          </w:p>
          <w:p w14:paraId="6F8AE813" w14:textId="0D4D91F3" w:rsidR="000F33B2" w:rsidRPr="008F2ED6" w:rsidRDefault="005409D5" w:rsidP="00667B79">
            <w:pPr>
              <w:widowControl/>
              <w:spacing w:line="300" w:lineRule="exact"/>
              <w:ind w:firstLineChars="200" w:firstLine="480"/>
              <w:rPr>
                <w:rFonts w:ascii="宋体" w:eastAsia="宋体" w:hAnsi="宋体" w:cs="宋体" w:hint="eastAsia"/>
                <w:bCs/>
                <w:color w:val="000000"/>
                <w:kern w:val="0"/>
                <w:sz w:val="24"/>
                <w:szCs w:val="24"/>
              </w:rPr>
            </w:pPr>
            <w:r w:rsidRPr="005409D5">
              <w:rPr>
                <w:rFonts w:ascii="宋体" w:eastAsia="宋体" w:hAnsi="宋体" w:cs="宋体" w:hint="eastAsia"/>
                <w:bCs/>
                <w:color w:val="000000"/>
                <w:kern w:val="0"/>
                <w:sz w:val="24"/>
                <w:szCs w:val="24"/>
              </w:rPr>
              <w:t>首先，研究了需求信息不对称下制造商分销渠道销售模式选择问题，研究发现：无论零售商是否分享需求信息，纯代理渠道的选择都不会成为制造商的最优</w:t>
            </w:r>
            <w:r w:rsidR="00431B50">
              <w:rPr>
                <w:rFonts w:ascii="宋体" w:eastAsia="宋体" w:hAnsi="宋体" w:cs="宋体" w:hint="eastAsia"/>
                <w:bCs/>
                <w:color w:val="000000"/>
                <w:kern w:val="0"/>
                <w:sz w:val="24"/>
                <w:szCs w:val="24"/>
              </w:rPr>
              <w:t>选择</w:t>
            </w:r>
            <w:r w:rsidRPr="005409D5">
              <w:rPr>
                <w:rFonts w:ascii="宋体" w:eastAsia="宋体" w:hAnsi="宋体" w:cs="宋体" w:hint="eastAsia"/>
                <w:bCs/>
                <w:color w:val="000000"/>
                <w:kern w:val="0"/>
                <w:sz w:val="24"/>
                <w:szCs w:val="24"/>
              </w:rPr>
              <w:t>。消费者对代理渠道的接受程度增加可以降低制造商选择双渠道模式的“门槛”。当零售商可以通过信息优势战略性地阻止制造商选择双渠道模式时，零售商不会行驶该权力。零售商在无法改变制造商的分销渠道销售模式选择策略时仍然分享信息是明智之举。此外，当考虑产品质量时，在一定条件下制造商和零售商可能会遭遇“囚徒困境”。虽然制造商选择双渠道模式会产生渠道竞争，对零售商不利。但是较高的产品质量可以扩大消费者需求，进而增加零售商的潜在收益，零售商存在搭便车效应。</w:t>
            </w:r>
          </w:p>
          <w:p w14:paraId="3EF61318" w14:textId="0BF00198" w:rsidR="000F33B2" w:rsidRPr="005409D5" w:rsidRDefault="005409D5" w:rsidP="00667B79">
            <w:pPr>
              <w:widowControl/>
              <w:spacing w:line="300" w:lineRule="exact"/>
              <w:ind w:firstLineChars="200" w:firstLine="480"/>
              <w:rPr>
                <w:rFonts w:ascii="宋体" w:eastAsia="宋体" w:hAnsi="宋体" w:cs="宋体" w:hint="eastAsia"/>
                <w:bCs/>
                <w:color w:val="000000"/>
                <w:kern w:val="0"/>
                <w:sz w:val="24"/>
                <w:szCs w:val="24"/>
              </w:rPr>
            </w:pPr>
            <w:r w:rsidRPr="005409D5">
              <w:rPr>
                <w:rFonts w:ascii="宋体" w:eastAsia="宋体" w:hAnsi="宋体" w:cs="宋体" w:hint="eastAsia"/>
                <w:bCs/>
                <w:color w:val="000000"/>
                <w:kern w:val="0"/>
                <w:sz w:val="24"/>
                <w:szCs w:val="24"/>
              </w:rPr>
              <w:t>其次，当存在在线评论时，考察了零售商的信息分享策略对制造商的分销渠道销售模式策略的影响。研究表明，当零售商不分享信息时，若双渠道模式存在，则纯代理模式成为劣势策略。然而，当零售商分享信息时，纯代理模式</w:t>
            </w:r>
            <w:r w:rsidR="00431B50">
              <w:rPr>
                <w:rFonts w:ascii="宋体" w:eastAsia="宋体" w:hAnsi="宋体" w:cs="宋体" w:hint="eastAsia"/>
                <w:bCs/>
                <w:color w:val="000000"/>
                <w:kern w:val="0"/>
                <w:sz w:val="24"/>
                <w:szCs w:val="24"/>
              </w:rPr>
              <w:t>却</w:t>
            </w:r>
            <w:r w:rsidRPr="005409D5">
              <w:rPr>
                <w:rFonts w:ascii="宋体" w:eastAsia="宋体" w:hAnsi="宋体" w:cs="宋体" w:hint="eastAsia"/>
                <w:bCs/>
                <w:color w:val="000000"/>
                <w:kern w:val="0"/>
                <w:sz w:val="24"/>
                <w:szCs w:val="24"/>
              </w:rPr>
              <w:t>可能成为制造商的最优选择。在线评论价值的增加可以降低制造商选择双渠道模式的“门槛”。此外，在一定的范围内佣金率的增加反而对零售商不利。消费者对代理渠道接受程度的增加会激励零售商分享需求信息。当零售商可以利用信息优势战略性地阻止制造商开通选择双渠道模式时，零售商并不会行使该权利。当零售商通过信息分享反而激励了制造商选择双渠道模式时，零售商在在线评论价值较高时可能还是会分享信息。</w:t>
            </w:r>
          </w:p>
          <w:p w14:paraId="014752AB" w14:textId="65740A5B" w:rsidR="000F33B2" w:rsidRPr="008F2ED6" w:rsidRDefault="005409D5" w:rsidP="00667B79">
            <w:pPr>
              <w:widowControl/>
              <w:spacing w:line="300" w:lineRule="exact"/>
              <w:ind w:firstLineChars="200" w:firstLine="480"/>
              <w:rPr>
                <w:rFonts w:ascii="宋体" w:eastAsia="宋体" w:hAnsi="宋体" w:cs="宋体" w:hint="eastAsia"/>
                <w:bCs/>
                <w:color w:val="000000"/>
                <w:kern w:val="0"/>
                <w:sz w:val="24"/>
                <w:szCs w:val="24"/>
              </w:rPr>
            </w:pPr>
            <w:r w:rsidRPr="005409D5">
              <w:rPr>
                <w:rFonts w:ascii="宋体" w:eastAsia="宋体" w:hAnsi="宋体" w:cs="宋体" w:hint="eastAsia"/>
                <w:bCs/>
                <w:color w:val="000000"/>
                <w:kern w:val="0"/>
                <w:sz w:val="24"/>
                <w:szCs w:val="24"/>
              </w:rPr>
              <w:t>接着，在需求信息不对称下探讨了制造商的直销渠道入侵问题，重点关注制造商在直销渠道上是通过设立分公司还是子公司的方式将产品销售给消费者。研究发现：当零售商信息分享并不能改变制造商的渠道选择时，零售商保留需求信息。当零售商可以通过信息工具战略性地阻止制造商渠道入侵时，零售商并非总是行驶该权力，而是通过权衡渠道竞争带来的伤害与信息分享造成的损失做出最终的信息分享决策。值得一提的是，激烈的渠道竞争可以降低制造商开通直销渠道的“门槛”。此外，与基准模型相比，在均衡状态下，信息分享或者开通直销渠道总是对制造商有利，但该结果并不总是对零售商成立。</w:t>
            </w:r>
          </w:p>
          <w:p w14:paraId="4FAC1B01" w14:textId="466A449E" w:rsidR="000F33B2" w:rsidRPr="003F7766" w:rsidRDefault="005409D5" w:rsidP="00667B79">
            <w:pPr>
              <w:widowControl/>
              <w:spacing w:line="300" w:lineRule="exact"/>
              <w:ind w:firstLineChars="200" w:firstLine="480"/>
              <w:rPr>
                <w:rFonts w:ascii="宋体" w:eastAsia="宋体" w:hAnsi="宋体" w:cs="宋体" w:hint="eastAsia"/>
                <w:b/>
                <w:color w:val="000000"/>
                <w:kern w:val="0"/>
                <w:sz w:val="28"/>
                <w:szCs w:val="28"/>
              </w:rPr>
            </w:pPr>
            <w:r w:rsidRPr="005409D5">
              <w:rPr>
                <w:rFonts w:ascii="宋体" w:eastAsia="宋体" w:hAnsi="宋体" w:cs="宋体" w:hint="eastAsia"/>
                <w:bCs/>
                <w:color w:val="000000"/>
                <w:kern w:val="0"/>
                <w:sz w:val="24"/>
                <w:szCs w:val="24"/>
              </w:rPr>
              <w:t>最后，分析了零售商的信息分享策略与制造商的直播渠道引入决策之间的相互作用。研究表明，零售商将信息优势作为抵抗渠道竞争的战略工具，渠道竞争强度的增加激励零售商进行信息分享。当零售商的信息分享策略无法阻止制造商引入直播渠道时，零售商利用信息策略阻止制造商引入商家直播渠道，激励制造商引入影响者直播渠道，零售商通过搭便车效应增加收益。此外，随着渠道竞争强度增加，制造商引入直播渠道的动机</w:t>
            </w:r>
            <w:r w:rsidR="000154A8">
              <w:rPr>
                <w:rFonts w:ascii="宋体" w:eastAsia="宋体" w:hAnsi="宋体" w:cs="宋体" w:hint="eastAsia"/>
                <w:bCs/>
                <w:color w:val="000000"/>
                <w:kern w:val="0"/>
                <w:sz w:val="24"/>
                <w:szCs w:val="24"/>
              </w:rPr>
              <w:t>减小</w:t>
            </w:r>
            <w:r w:rsidRPr="005409D5">
              <w:rPr>
                <w:rFonts w:ascii="宋体" w:eastAsia="宋体" w:hAnsi="宋体" w:cs="宋体" w:hint="eastAsia"/>
                <w:bCs/>
                <w:color w:val="000000"/>
                <w:kern w:val="0"/>
                <w:sz w:val="24"/>
                <w:szCs w:val="24"/>
              </w:rPr>
              <w:t>。当渠道竞争强度较小时，制造商在无信息分享下引入影响者直播渠道可使制造商和零售商实现双赢。当考虑直播努力对零售渠道的需求产生负向网络效应时，主要结论无质的变化。</w:t>
            </w:r>
          </w:p>
        </w:tc>
      </w:tr>
    </w:tbl>
    <w:p w14:paraId="1FEC2EEB" w14:textId="77777777" w:rsidR="00000000" w:rsidRPr="00F94709" w:rsidRDefault="00000000" w:rsidP="00C86E38">
      <w:pPr>
        <w:rPr>
          <w:rFonts w:hint="eastAsia"/>
          <w:sz w:val="24"/>
          <w:szCs w:val="24"/>
        </w:rPr>
      </w:pPr>
    </w:p>
    <w:sectPr w:rsidR="003A748B" w:rsidRPr="00F94709" w:rsidSect="000C30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AC9DF" w14:textId="77777777" w:rsidR="00D25A34" w:rsidRDefault="00D25A34" w:rsidP="00BA5512">
      <w:r>
        <w:separator/>
      </w:r>
    </w:p>
  </w:endnote>
  <w:endnote w:type="continuationSeparator" w:id="0">
    <w:p w14:paraId="3C65B84C" w14:textId="77777777" w:rsidR="00D25A34" w:rsidRDefault="00D25A34" w:rsidP="00BA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A1F88" w14:textId="77777777" w:rsidR="00D25A34" w:rsidRDefault="00D25A34" w:rsidP="00BA5512">
      <w:r>
        <w:separator/>
      </w:r>
    </w:p>
  </w:footnote>
  <w:footnote w:type="continuationSeparator" w:id="0">
    <w:p w14:paraId="1A71734C" w14:textId="77777777" w:rsidR="00D25A34" w:rsidRDefault="00D25A34" w:rsidP="00BA55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MDU3MzAys7Q0NzUxtzBR0lEKTi0uzszPAykwrAUAjME2hiwAAAA="/>
  </w:docVars>
  <w:rsids>
    <w:rsidRoot w:val="003F7766"/>
    <w:rsid w:val="000154A8"/>
    <w:rsid w:val="000561F3"/>
    <w:rsid w:val="000A3E63"/>
    <w:rsid w:val="000C309C"/>
    <w:rsid w:val="000F33B2"/>
    <w:rsid w:val="000F62FB"/>
    <w:rsid w:val="001157F0"/>
    <w:rsid w:val="0014433F"/>
    <w:rsid w:val="001579F6"/>
    <w:rsid w:val="001A5243"/>
    <w:rsid w:val="001B350E"/>
    <w:rsid w:val="003D17E1"/>
    <w:rsid w:val="003D4482"/>
    <w:rsid w:val="003F5FFF"/>
    <w:rsid w:val="003F7766"/>
    <w:rsid w:val="004135BB"/>
    <w:rsid w:val="00431B50"/>
    <w:rsid w:val="00445EA3"/>
    <w:rsid w:val="00453B4C"/>
    <w:rsid w:val="005374E7"/>
    <w:rsid w:val="005409D5"/>
    <w:rsid w:val="00567FA6"/>
    <w:rsid w:val="006072B2"/>
    <w:rsid w:val="006601A7"/>
    <w:rsid w:val="00667B79"/>
    <w:rsid w:val="00671515"/>
    <w:rsid w:val="006940BD"/>
    <w:rsid w:val="006D7BC5"/>
    <w:rsid w:val="007161AA"/>
    <w:rsid w:val="00717274"/>
    <w:rsid w:val="00720E19"/>
    <w:rsid w:val="007232AC"/>
    <w:rsid w:val="00776AA6"/>
    <w:rsid w:val="007E3CDA"/>
    <w:rsid w:val="007E524D"/>
    <w:rsid w:val="008B6443"/>
    <w:rsid w:val="008F2ED6"/>
    <w:rsid w:val="00953245"/>
    <w:rsid w:val="009F37AD"/>
    <w:rsid w:val="00A26486"/>
    <w:rsid w:val="00AA47FB"/>
    <w:rsid w:val="00B40EAB"/>
    <w:rsid w:val="00BA5512"/>
    <w:rsid w:val="00BD4DB2"/>
    <w:rsid w:val="00C1463E"/>
    <w:rsid w:val="00C86E38"/>
    <w:rsid w:val="00CA3673"/>
    <w:rsid w:val="00D01C3B"/>
    <w:rsid w:val="00D25A34"/>
    <w:rsid w:val="00DA647F"/>
    <w:rsid w:val="00EA68B4"/>
    <w:rsid w:val="00F14DF6"/>
    <w:rsid w:val="00F36060"/>
    <w:rsid w:val="00F94709"/>
    <w:rsid w:val="00F95865"/>
    <w:rsid w:val="00FB7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B00E8"/>
  <w15:docId w15:val="{BC12CEBB-D091-47F9-BDF6-E05BB9C1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0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51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A5512"/>
    <w:rPr>
      <w:sz w:val="18"/>
      <w:szCs w:val="18"/>
    </w:rPr>
  </w:style>
  <w:style w:type="paragraph" w:styleId="a5">
    <w:name w:val="footer"/>
    <w:basedOn w:val="a"/>
    <w:link w:val="a6"/>
    <w:uiPriority w:val="99"/>
    <w:unhideWhenUsed/>
    <w:rsid w:val="00BA5512"/>
    <w:pPr>
      <w:tabs>
        <w:tab w:val="center" w:pos="4153"/>
        <w:tab w:val="right" w:pos="8306"/>
      </w:tabs>
      <w:snapToGrid w:val="0"/>
      <w:jc w:val="left"/>
    </w:pPr>
    <w:rPr>
      <w:sz w:val="18"/>
      <w:szCs w:val="18"/>
    </w:rPr>
  </w:style>
  <w:style w:type="character" w:customStyle="1" w:styleId="a6">
    <w:name w:val="页脚 字符"/>
    <w:basedOn w:val="a0"/>
    <w:link w:val="a5"/>
    <w:uiPriority w:val="99"/>
    <w:rsid w:val="00BA55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574479">
      <w:bodyDiv w:val="1"/>
      <w:marLeft w:val="0"/>
      <w:marRight w:val="0"/>
      <w:marTop w:val="0"/>
      <w:marBottom w:val="0"/>
      <w:divBdr>
        <w:top w:val="none" w:sz="0" w:space="0" w:color="auto"/>
        <w:left w:val="none" w:sz="0" w:space="0" w:color="auto"/>
        <w:bottom w:val="none" w:sz="0" w:space="0" w:color="auto"/>
        <w:right w:val="none" w:sz="0" w:space="0" w:color="auto"/>
      </w:divBdr>
    </w:div>
    <w:div w:id="131892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211</Words>
  <Characters>1205</Characters>
  <Application>Microsoft Office Word</Application>
  <DocSecurity>0</DocSecurity>
  <Lines>10</Lines>
  <Paragraphs>2</Paragraphs>
  <ScaleCrop>false</ScaleCrop>
  <Company>Lenovo</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ss</cp:lastModifiedBy>
  <cp:revision>37</cp:revision>
  <cp:lastPrinted>2017-01-06T07:14:00Z</cp:lastPrinted>
  <dcterms:created xsi:type="dcterms:W3CDTF">2017-01-06T06:51:00Z</dcterms:created>
  <dcterms:modified xsi:type="dcterms:W3CDTF">2025-10-24T06:53:00Z</dcterms:modified>
</cp:coreProperties>
</file>