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2"/>
          <w:lang w:val="en-US" w:eastAsia="zh-CN" w:bidi="ar-SA"/>
        </w:rPr>
        <w:id w:val="147456739"/>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305C0498">
          <w:pPr>
            <w:spacing w:before="0" w:beforeLines="0" w:after="0" w:afterLines="0" w:line="240" w:lineRule="auto"/>
            <w:ind w:left="0" w:leftChars="0" w:right="0" w:rightChars="0" w:firstLine="0" w:firstLineChars="0"/>
            <w:jc w:val="center"/>
          </w:pPr>
          <w:bookmarkStart w:id="0" w:name="_Toc51256836"/>
          <w:bookmarkStart w:id="1" w:name="_Toc3792"/>
          <w:r>
            <w:rPr>
              <w:rFonts w:ascii="宋体" w:hAnsi="宋体" w:eastAsia="宋体"/>
              <w:sz w:val="21"/>
            </w:rPr>
            <w:t>目录</w:t>
          </w:r>
        </w:p>
        <w:p w14:paraId="63523829">
          <w:pPr>
            <w:pStyle w:val="15"/>
            <w:tabs>
              <w:tab w:val="right" w:leader="dot" w:pos="8958"/>
            </w:tabs>
          </w:pPr>
          <w:r>
            <w:fldChar w:fldCharType="begin"/>
          </w:r>
          <w:r>
            <w:instrText xml:space="preserve">TOC \o "1-1" \h \u </w:instrText>
          </w:r>
          <w:r>
            <w:fldChar w:fldCharType="separate"/>
          </w:r>
          <w:r>
            <w:fldChar w:fldCharType="begin"/>
          </w:r>
          <w:r>
            <w:instrText xml:space="preserve"> HYPERLINK \l _Toc10141 </w:instrText>
          </w:r>
          <w:r>
            <w:fldChar w:fldCharType="separate"/>
          </w:r>
          <w:r>
            <w:rPr>
              <w:rFonts w:hint="eastAsia"/>
              <w:highlight w:val="none"/>
            </w:rPr>
            <w:t>目    录</w:t>
          </w:r>
          <w:r>
            <w:tab/>
          </w:r>
          <w:r>
            <w:fldChar w:fldCharType="begin"/>
          </w:r>
          <w:r>
            <w:instrText xml:space="preserve"> PAGEREF _Toc10141 \h </w:instrText>
          </w:r>
          <w:r>
            <w:fldChar w:fldCharType="separate"/>
          </w:r>
          <w:r>
            <w:t>3</w:t>
          </w:r>
          <w:r>
            <w:fldChar w:fldCharType="end"/>
          </w:r>
          <w:r>
            <w:fldChar w:fldCharType="end"/>
          </w:r>
        </w:p>
        <w:p w14:paraId="716DC2DB">
          <w:pPr>
            <w:pStyle w:val="15"/>
            <w:tabs>
              <w:tab w:val="right" w:leader="dot" w:pos="8958"/>
            </w:tabs>
            <w:rPr>
              <w:highlight w:val="none"/>
            </w:rPr>
          </w:pPr>
          <w:r>
            <w:rPr>
              <w:highlight w:val="none"/>
            </w:rPr>
            <w:fldChar w:fldCharType="begin"/>
          </w:r>
          <w:r>
            <w:rPr>
              <w:highlight w:val="none"/>
            </w:rPr>
            <w:instrText xml:space="preserve"> HYPERLINK \l _Toc22244 </w:instrText>
          </w:r>
          <w:r>
            <w:rPr>
              <w:highlight w:val="none"/>
            </w:rPr>
            <w:fldChar w:fldCharType="separate"/>
          </w:r>
          <w:r>
            <w:rPr>
              <w:rFonts w:hint="eastAsia"/>
              <w:w w:val="98"/>
              <w:highlight w:val="none"/>
            </w:rPr>
            <w:t>“交大出版·唐臣”奖学金评选办法</w:t>
          </w:r>
          <w:r>
            <w:rPr>
              <w:highlight w:val="none"/>
            </w:rPr>
            <w:tab/>
          </w:r>
          <w:r>
            <w:rPr>
              <w:highlight w:val="none"/>
            </w:rPr>
            <w:fldChar w:fldCharType="begin"/>
          </w:r>
          <w:r>
            <w:rPr>
              <w:highlight w:val="none"/>
            </w:rPr>
            <w:instrText xml:space="preserve"> PAGEREF _Toc22244 \h </w:instrText>
          </w:r>
          <w:r>
            <w:rPr>
              <w:highlight w:val="none"/>
            </w:rPr>
            <w:fldChar w:fldCharType="separate"/>
          </w:r>
          <w:r>
            <w:rPr>
              <w:highlight w:val="none"/>
            </w:rPr>
            <w:t>6</w:t>
          </w:r>
          <w:r>
            <w:rPr>
              <w:highlight w:val="none"/>
            </w:rPr>
            <w:fldChar w:fldCharType="end"/>
          </w:r>
          <w:r>
            <w:rPr>
              <w:highlight w:val="none"/>
            </w:rPr>
            <w:fldChar w:fldCharType="end"/>
          </w:r>
        </w:p>
        <w:p w14:paraId="6A5F0CE6">
          <w:pPr>
            <w:pStyle w:val="15"/>
            <w:tabs>
              <w:tab w:val="right" w:leader="dot" w:pos="8958"/>
            </w:tabs>
            <w:rPr>
              <w:highlight w:val="none"/>
            </w:rPr>
          </w:pPr>
          <w:r>
            <w:rPr>
              <w:highlight w:val="none"/>
            </w:rPr>
            <w:fldChar w:fldCharType="begin"/>
          </w:r>
          <w:r>
            <w:rPr>
              <w:highlight w:val="none"/>
            </w:rPr>
            <w:instrText xml:space="preserve"> HYPERLINK \l _Toc6351 </w:instrText>
          </w:r>
          <w:r>
            <w:rPr>
              <w:highlight w:val="none"/>
            </w:rPr>
            <w:fldChar w:fldCharType="separate"/>
          </w:r>
          <w:r>
            <w:rPr>
              <w:rFonts w:hint="eastAsia"/>
              <w:highlight w:val="none"/>
            </w:rPr>
            <w:t>西南交通大学茅以升学院“洋光启航奖学金”评定办法</w:t>
          </w:r>
          <w:r>
            <w:rPr>
              <w:highlight w:val="none"/>
            </w:rPr>
            <w:tab/>
          </w:r>
          <w:r>
            <w:rPr>
              <w:highlight w:val="none"/>
            </w:rPr>
            <w:fldChar w:fldCharType="begin"/>
          </w:r>
          <w:r>
            <w:rPr>
              <w:highlight w:val="none"/>
            </w:rPr>
            <w:instrText xml:space="preserve"> PAGEREF _Toc6351 \h </w:instrText>
          </w:r>
          <w:r>
            <w:rPr>
              <w:highlight w:val="none"/>
            </w:rPr>
            <w:fldChar w:fldCharType="separate"/>
          </w:r>
          <w:r>
            <w:rPr>
              <w:highlight w:val="none"/>
            </w:rPr>
            <w:t>8</w:t>
          </w:r>
          <w:r>
            <w:rPr>
              <w:highlight w:val="none"/>
            </w:rPr>
            <w:fldChar w:fldCharType="end"/>
          </w:r>
          <w:r>
            <w:rPr>
              <w:highlight w:val="none"/>
            </w:rPr>
            <w:fldChar w:fldCharType="end"/>
          </w:r>
        </w:p>
        <w:p w14:paraId="45BE47CF">
          <w:pPr>
            <w:pStyle w:val="15"/>
            <w:tabs>
              <w:tab w:val="right" w:leader="dot" w:pos="8958"/>
            </w:tabs>
            <w:rPr>
              <w:highlight w:val="none"/>
            </w:rPr>
          </w:pPr>
          <w:r>
            <w:rPr>
              <w:highlight w:val="none"/>
            </w:rPr>
            <w:fldChar w:fldCharType="begin"/>
          </w:r>
          <w:r>
            <w:rPr>
              <w:highlight w:val="none"/>
            </w:rPr>
            <w:instrText xml:space="preserve"> HYPERLINK \l _Toc12160 </w:instrText>
          </w:r>
          <w:r>
            <w:rPr>
              <w:highlight w:val="none"/>
            </w:rPr>
            <w:fldChar w:fldCharType="separate"/>
          </w:r>
          <w:r>
            <w:rPr>
              <w:rFonts w:hint="eastAsia"/>
              <w:highlight w:val="none"/>
            </w:rPr>
            <w:t>中国港湾奖（助）学金评选管理办法</w:t>
          </w:r>
          <w:r>
            <w:rPr>
              <w:highlight w:val="none"/>
            </w:rPr>
            <w:tab/>
          </w:r>
          <w:r>
            <w:rPr>
              <w:highlight w:val="none"/>
            </w:rPr>
            <w:fldChar w:fldCharType="begin"/>
          </w:r>
          <w:r>
            <w:rPr>
              <w:highlight w:val="none"/>
            </w:rPr>
            <w:instrText xml:space="preserve"> PAGEREF _Toc12160 \h </w:instrText>
          </w:r>
          <w:r>
            <w:rPr>
              <w:highlight w:val="none"/>
            </w:rPr>
            <w:fldChar w:fldCharType="separate"/>
          </w:r>
          <w:r>
            <w:rPr>
              <w:highlight w:val="none"/>
            </w:rPr>
            <w:t>10</w:t>
          </w:r>
          <w:r>
            <w:rPr>
              <w:highlight w:val="none"/>
            </w:rPr>
            <w:fldChar w:fldCharType="end"/>
          </w:r>
          <w:r>
            <w:rPr>
              <w:highlight w:val="none"/>
            </w:rPr>
            <w:fldChar w:fldCharType="end"/>
          </w:r>
        </w:p>
        <w:p w14:paraId="5F8BBC86">
          <w:pPr>
            <w:pStyle w:val="15"/>
            <w:tabs>
              <w:tab w:val="right" w:leader="dot" w:pos="8958"/>
            </w:tabs>
            <w:rPr>
              <w:highlight w:val="none"/>
            </w:rPr>
          </w:pPr>
          <w:r>
            <w:rPr>
              <w:highlight w:val="none"/>
            </w:rPr>
            <w:fldChar w:fldCharType="begin"/>
          </w:r>
          <w:r>
            <w:rPr>
              <w:highlight w:val="none"/>
            </w:rPr>
            <w:instrText xml:space="preserve"> HYPERLINK \l _Toc13061 </w:instrText>
          </w:r>
          <w:r>
            <w:rPr>
              <w:highlight w:val="none"/>
            </w:rPr>
            <w:fldChar w:fldCharType="separate"/>
          </w:r>
          <w:r>
            <w:rPr>
              <w:rFonts w:hint="eastAsia"/>
              <w:highlight w:val="none"/>
            </w:rPr>
            <w:t>西南交通大学“土木九八级二班奖学金”评选办法</w:t>
          </w:r>
          <w:r>
            <w:rPr>
              <w:highlight w:val="none"/>
            </w:rPr>
            <w:tab/>
          </w:r>
          <w:r>
            <w:rPr>
              <w:highlight w:val="none"/>
            </w:rPr>
            <w:fldChar w:fldCharType="begin"/>
          </w:r>
          <w:r>
            <w:rPr>
              <w:highlight w:val="none"/>
            </w:rPr>
            <w:instrText xml:space="preserve"> PAGEREF _Toc13061 \h </w:instrText>
          </w:r>
          <w:r>
            <w:rPr>
              <w:highlight w:val="none"/>
            </w:rPr>
            <w:fldChar w:fldCharType="separate"/>
          </w:r>
          <w:r>
            <w:rPr>
              <w:highlight w:val="none"/>
            </w:rPr>
            <w:t>11</w:t>
          </w:r>
          <w:r>
            <w:rPr>
              <w:highlight w:val="none"/>
            </w:rPr>
            <w:fldChar w:fldCharType="end"/>
          </w:r>
          <w:r>
            <w:rPr>
              <w:highlight w:val="none"/>
            </w:rPr>
            <w:fldChar w:fldCharType="end"/>
          </w:r>
        </w:p>
        <w:p w14:paraId="04A18CDD">
          <w:pPr>
            <w:pStyle w:val="15"/>
            <w:tabs>
              <w:tab w:val="right" w:leader="dot" w:pos="8958"/>
            </w:tabs>
            <w:rPr>
              <w:highlight w:val="none"/>
            </w:rPr>
          </w:pPr>
          <w:r>
            <w:rPr>
              <w:highlight w:val="none"/>
            </w:rPr>
            <w:fldChar w:fldCharType="begin"/>
          </w:r>
          <w:r>
            <w:rPr>
              <w:highlight w:val="none"/>
            </w:rPr>
            <w:instrText xml:space="preserve"> HYPERLINK \l _Toc31451 </w:instrText>
          </w:r>
          <w:r>
            <w:rPr>
              <w:highlight w:val="none"/>
            </w:rPr>
            <w:fldChar w:fldCharType="separate"/>
          </w:r>
          <w:r>
            <w:rPr>
              <w:highlight w:val="none"/>
            </w:rPr>
            <w:t>“</w:t>
          </w:r>
          <w:r>
            <w:rPr>
              <w:rFonts w:hint="eastAsia"/>
              <w:highlight w:val="none"/>
            </w:rPr>
            <w:t>钱冬生教育基金奖学金</w:t>
          </w:r>
          <w:r>
            <w:rPr>
              <w:highlight w:val="none"/>
            </w:rPr>
            <w:t>”</w:t>
          </w:r>
          <w:r>
            <w:rPr>
              <w:rFonts w:hint="eastAsia"/>
              <w:highlight w:val="none"/>
            </w:rPr>
            <w:t>评定办法</w:t>
          </w:r>
          <w:r>
            <w:rPr>
              <w:highlight w:val="none"/>
            </w:rPr>
            <w:tab/>
          </w:r>
          <w:r>
            <w:rPr>
              <w:highlight w:val="none"/>
            </w:rPr>
            <w:fldChar w:fldCharType="begin"/>
          </w:r>
          <w:r>
            <w:rPr>
              <w:highlight w:val="none"/>
            </w:rPr>
            <w:instrText xml:space="preserve"> PAGEREF _Toc31451 \h </w:instrText>
          </w:r>
          <w:r>
            <w:rPr>
              <w:highlight w:val="none"/>
            </w:rPr>
            <w:fldChar w:fldCharType="separate"/>
          </w:r>
          <w:r>
            <w:rPr>
              <w:highlight w:val="none"/>
            </w:rPr>
            <w:t>12</w:t>
          </w:r>
          <w:r>
            <w:rPr>
              <w:highlight w:val="none"/>
            </w:rPr>
            <w:fldChar w:fldCharType="end"/>
          </w:r>
          <w:r>
            <w:rPr>
              <w:highlight w:val="none"/>
            </w:rPr>
            <w:fldChar w:fldCharType="end"/>
          </w:r>
        </w:p>
        <w:p w14:paraId="69001730">
          <w:pPr>
            <w:pStyle w:val="15"/>
            <w:tabs>
              <w:tab w:val="right" w:leader="dot" w:pos="8958"/>
            </w:tabs>
            <w:rPr>
              <w:highlight w:val="none"/>
            </w:rPr>
          </w:pPr>
          <w:r>
            <w:rPr>
              <w:highlight w:val="none"/>
            </w:rPr>
            <w:fldChar w:fldCharType="begin"/>
          </w:r>
          <w:r>
            <w:rPr>
              <w:highlight w:val="none"/>
            </w:rPr>
            <w:instrText xml:space="preserve"> HYPERLINK \l _Toc28821 </w:instrText>
          </w:r>
          <w:r>
            <w:rPr>
              <w:highlight w:val="none"/>
            </w:rPr>
            <w:fldChar w:fldCharType="separate"/>
          </w:r>
          <w:r>
            <w:rPr>
              <w:rFonts w:hint="eastAsia"/>
              <w:highlight w:val="none"/>
              <w:lang w:eastAsia="zh-CN"/>
            </w:rPr>
            <w:t>强士中奖学金</w:t>
          </w:r>
          <w:r>
            <w:rPr>
              <w:highlight w:val="none"/>
            </w:rPr>
            <w:tab/>
          </w:r>
          <w:r>
            <w:rPr>
              <w:highlight w:val="none"/>
            </w:rPr>
            <w:fldChar w:fldCharType="begin"/>
          </w:r>
          <w:r>
            <w:rPr>
              <w:highlight w:val="none"/>
            </w:rPr>
            <w:instrText xml:space="preserve"> PAGEREF _Toc28821 \h </w:instrText>
          </w:r>
          <w:r>
            <w:rPr>
              <w:highlight w:val="none"/>
            </w:rPr>
            <w:fldChar w:fldCharType="separate"/>
          </w:r>
          <w:r>
            <w:rPr>
              <w:highlight w:val="none"/>
            </w:rPr>
            <w:t>13</w:t>
          </w:r>
          <w:r>
            <w:rPr>
              <w:highlight w:val="none"/>
            </w:rPr>
            <w:fldChar w:fldCharType="end"/>
          </w:r>
          <w:r>
            <w:rPr>
              <w:highlight w:val="none"/>
            </w:rPr>
            <w:fldChar w:fldCharType="end"/>
          </w:r>
        </w:p>
        <w:p w14:paraId="1F2D0117">
          <w:pPr>
            <w:pStyle w:val="15"/>
            <w:tabs>
              <w:tab w:val="right" w:leader="dot" w:pos="8958"/>
            </w:tabs>
            <w:rPr>
              <w:highlight w:val="none"/>
            </w:rPr>
          </w:pPr>
          <w:r>
            <w:rPr>
              <w:highlight w:val="none"/>
            </w:rPr>
            <w:fldChar w:fldCharType="begin"/>
          </w:r>
          <w:r>
            <w:rPr>
              <w:highlight w:val="none"/>
            </w:rPr>
            <w:instrText xml:space="preserve"> HYPERLINK \l _Toc6754 </w:instrText>
          </w:r>
          <w:r>
            <w:rPr>
              <w:highlight w:val="none"/>
            </w:rPr>
            <w:fldChar w:fldCharType="separate"/>
          </w:r>
          <w:r>
            <w:rPr>
              <w:highlight w:val="none"/>
            </w:rPr>
            <w:t>西南交通大学“欧维姆奖学金评选办法”</w:t>
          </w:r>
          <w:r>
            <w:rPr>
              <w:highlight w:val="none"/>
            </w:rPr>
            <w:tab/>
          </w:r>
          <w:r>
            <w:rPr>
              <w:highlight w:val="none"/>
            </w:rPr>
            <w:fldChar w:fldCharType="begin"/>
          </w:r>
          <w:r>
            <w:rPr>
              <w:highlight w:val="none"/>
            </w:rPr>
            <w:instrText xml:space="preserve"> PAGEREF _Toc6754 \h </w:instrText>
          </w:r>
          <w:r>
            <w:rPr>
              <w:highlight w:val="none"/>
            </w:rPr>
            <w:fldChar w:fldCharType="separate"/>
          </w:r>
          <w:r>
            <w:rPr>
              <w:highlight w:val="none"/>
            </w:rPr>
            <w:t>14</w:t>
          </w:r>
          <w:r>
            <w:rPr>
              <w:highlight w:val="none"/>
            </w:rPr>
            <w:fldChar w:fldCharType="end"/>
          </w:r>
          <w:r>
            <w:rPr>
              <w:highlight w:val="none"/>
            </w:rPr>
            <w:fldChar w:fldCharType="end"/>
          </w:r>
        </w:p>
        <w:p w14:paraId="22955BD4">
          <w:pPr>
            <w:pStyle w:val="15"/>
            <w:tabs>
              <w:tab w:val="right" w:leader="dot" w:pos="8958"/>
            </w:tabs>
            <w:rPr>
              <w:highlight w:val="none"/>
            </w:rPr>
          </w:pPr>
          <w:r>
            <w:rPr>
              <w:highlight w:val="none"/>
            </w:rPr>
            <w:fldChar w:fldCharType="begin"/>
          </w:r>
          <w:r>
            <w:rPr>
              <w:highlight w:val="none"/>
            </w:rPr>
            <w:instrText xml:space="preserve"> HYPERLINK \l _Toc25600 </w:instrText>
          </w:r>
          <w:r>
            <w:rPr>
              <w:highlight w:val="none"/>
            </w:rPr>
            <w:fldChar w:fldCharType="separate"/>
          </w:r>
          <w:r>
            <w:rPr>
              <w:rFonts w:hint="eastAsia"/>
              <w:highlight w:val="none"/>
              <w:lang w:eastAsia="zh-CN"/>
            </w:rPr>
            <w:t>“万路通”桥梁奖学金</w:t>
          </w:r>
          <w:r>
            <w:rPr>
              <w:highlight w:val="none"/>
            </w:rPr>
            <w:tab/>
          </w:r>
          <w:r>
            <w:rPr>
              <w:highlight w:val="none"/>
            </w:rPr>
            <w:fldChar w:fldCharType="begin"/>
          </w:r>
          <w:r>
            <w:rPr>
              <w:highlight w:val="none"/>
            </w:rPr>
            <w:instrText xml:space="preserve"> PAGEREF _Toc25600 \h </w:instrText>
          </w:r>
          <w:r>
            <w:rPr>
              <w:highlight w:val="none"/>
            </w:rPr>
            <w:fldChar w:fldCharType="separate"/>
          </w:r>
          <w:r>
            <w:rPr>
              <w:highlight w:val="none"/>
            </w:rPr>
            <w:t>15</w:t>
          </w:r>
          <w:r>
            <w:rPr>
              <w:highlight w:val="none"/>
            </w:rPr>
            <w:fldChar w:fldCharType="end"/>
          </w:r>
          <w:r>
            <w:rPr>
              <w:highlight w:val="none"/>
            </w:rPr>
            <w:fldChar w:fldCharType="end"/>
          </w:r>
        </w:p>
        <w:p w14:paraId="1B4697E8">
          <w:pPr>
            <w:pStyle w:val="15"/>
            <w:tabs>
              <w:tab w:val="right" w:leader="dot" w:pos="8958"/>
            </w:tabs>
            <w:rPr>
              <w:highlight w:val="none"/>
            </w:rPr>
          </w:pPr>
          <w:r>
            <w:rPr>
              <w:highlight w:val="none"/>
            </w:rPr>
            <w:fldChar w:fldCharType="begin"/>
          </w:r>
          <w:r>
            <w:rPr>
              <w:highlight w:val="none"/>
            </w:rPr>
            <w:instrText xml:space="preserve"> HYPERLINK \l _Toc14919 </w:instrText>
          </w:r>
          <w:r>
            <w:rPr>
              <w:highlight w:val="none"/>
            </w:rPr>
            <w:fldChar w:fldCharType="separate"/>
          </w:r>
          <w:r>
            <w:rPr>
              <w:rFonts w:hint="eastAsia"/>
              <w:highlight w:val="none"/>
              <w:lang w:eastAsia="zh-CN"/>
            </w:rPr>
            <w:t>西南交大土木工程设计有限公</w:t>
          </w:r>
          <w:bookmarkStart w:id="19" w:name="_GoBack"/>
          <w:bookmarkEnd w:id="19"/>
          <w:r>
            <w:rPr>
              <w:rFonts w:hint="eastAsia"/>
              <w:highlight w:val="none"/>
              <w:lang w:eastAsia="zh-CN"/>
            </w:rPr>
            <w:t>司奖学金评选办法</w:t>
          </w:r>
          <w:r>
            <w:rPr>
              <w:highlight w:val="none"/>
            </w:rPr>
            <w:tab/>
          </w:r>
          <w:r>
            <w:rPr>
              <w:highlight w:val="none"/>
            </w:rPr>
            <w:fldChar w:fldCharType="begin"/>
          </w:r>
          <w:r>
            <w:rPr>
              <w:highlight w:val="none"/>
            </w:rPr>
            <w:instrText xml:space="preserve"> PAGEREF _Toc14919 \h </w:instrText>
          </w:r>
          <w:r>
            <w:rPr>
              <w:highlight w:val="none"/>
            </w:rPr>
            <w:fldChar w:fldCharType="separate"/>
          </w:r>
          <w:r>
            <w:rPr>
              <w:highlight w:val="none"/>
            </w:rPr>
            <w:t>17</w:t>
          </w:r>
          <w:r>
            <w:rPr>
              <w:highlight w:val="none"/>
            </w:rPr>
            <w:fldChar w:fldCharType="end"/>
          </w:r>
          <w:r>
            <w:rPr>
              <w:highlight w:val="none"/>
            </w:rPr>
            <w:fldChar w:fldCharType="end"/>
          </w:r>
        </w:p>
        <w:p w14:paraId="34315A2B">
          <w:pPr>
            <w:pStyle w:val="15"/>
            <w:tabs>
              <w:tab w:val="right" w:leader="dot" w:pos="8958"/>
            </w:tabs>
            <w:rPr>
              <w:highlight w:val="none"/>
            </w:rPr>
          </w:pPr>
          <w:r>
            <w:rPr>
              <w:highlight w:val="none"/>
            </w:rPr>
            <w:fldChar w:fldCharType="begin"/>
          </w:r>
          <w:r>
            <w:rPr>
              <w:highlight w:val="none"/>
            </w:rPr>
            <w:instrText xml:space="preserve"> HYPERLINK \l _Toc17786 </w:instrText>
          </w:r>
          <w:r>
            <w:rPr>
              <w:highlight w:val="none"/>
            </w:rPr>
            <w:fldChar w:fldCharType="separate"/>
          </w:r>
          <w:r>
            <w:rPr>
              <w:rFonts w:hint="eastAsia"/>
              <w:highlight w:val="none"/>
              <w:lang w:val="en-US" w:eastAsia="zh-CN"/>
            </w:rPr>
            <w:t>西南交通大学卓鼎银丰奖学金评选办法</w:t>
          </w:r>
          <w:r>
            <w:rPr>
              <w:highlight w:val="none"/>
            </w:rPr>
            <w:tab/>
          </w:r>
          <w:r>
            <w:rPr>
              <w:highlight w:val="none"/>
            </w:rPr>
            <w:fldChar w:fldCharType="begin"/>
          </w:r>
          <w:r>
            <w:rPr>
              <w:highlight w:val="none"/>
            </w:rPr>
            <w:instrText xml:space="preserve"> PAGEREF _Toc17786 \h </w:instrText>
          </w:r>
          <w:r>
            <w:rPr>
              <w:highlight w:val="none"/>
            </w:rPr>
            <w:fldChar w:fldCharType="separate"/>
          </w:r>
          <w:r>
            <w:rPr>
              <w:highlight w:val="none"/>
            </w:rPr>
            <w:t>19</w:t>
          </w:r>
          <w:r>
            <w:rPr>
              <w:highlight w:val="none"/>
            </w:rPr>
            <w:fldChar w:fldCharType="end"/>
          </w:r>
          <w:r>
            <w:rPr>
              <w:highlight w:val="none"/>
            </w:rPr>
            <w:fldChar w:fldCharType="end"/>
          </w:r>
        </w:p>
        <w:p w14:paraId="32B843AE">
          <w:pPr>
            <w:pStyle w:val="15"/>
            <w:tabs>
              <w:tab w:val="right" w:leader="dot" w:pos="8958"/>
            </w:tabs>
          </w:pPr>
        </w:p>
        <w:p w14:paraId="449DF229">
          <w:r>
            <w:fldChar w:fldCharType="end"/>
          </w:r>
        </w:p>
      </w:sdtContent>
    </w:sdt>
    <w:p w14:paraId="12A46B1C"/>
    <w:bookmarkEnd w:id="0"/>
    <w:bookmarkEnd w:id="1"/>
    <w:p w14:paraId="14F08E49">
      <w:pPr>
        <w:pStyle w:val="15"/>
        <w:tabs>
          <w:tab w:val="right" w:leader="dot" w:pos="8948"/>
        </w:tabs>
        <w:ind w:firstLine="480"/>
        <w:rPr>
          <w:rFonts w:hint="eastAsia" w:asciiTheme="minorHAnsi" w:hAnsiTheme="minorHAnsi" w:eastAsiaTheme="minorEastAsia"/>
          <w:sz w:val="21"/>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531" w:right="1474" w:bottom="1531" w:left="1474" w:header="851" w:footer="992" w:gutter="0"/>
          <w:pgNumType w:fmt="decimal"/>
          <w:cols w:space="425" w:num="1"/>
          <w:docGrid w:type="lines" w:linePitch="312" w:charSpace="0"/>
        </w:sectPr>
      </w:pPr>
    </w:p>
    <w:p w14:paraId="11B2E6C2">
      <w:pPr>
        <w:pStyle w:val="2"/>
        <w:spacing w:after="156"/>
        <w:ind w:firstLine="0" w:firstLineChars="0"/>
        <w:rPr>
          <w:w w:val="98"/>
          <w:highlight w:val="none"/>
        </w:rPr>
      </w:pPr>
      <w:bookmarkStart w:id="2" w:name="_Toc14620"/>
      <w:bookmarkStart w:id="3" w:name="_Toc22244"/>
      <w:r>
        <w:rPr>
          <w:rFonts w:hint="eastAsia"/>
          <w:w w:val="98"/>
          <w:highlight w:val="none"/>
        </w:rPr>
        <w:t>“交大出版·唐臣”奖学金评选办法</w:t>
      </w:r>
      <w:bookmarkEnd w:id="2"/>
      <w:bookmarkEnd w:id="3"/>
    </w:p>
    <w:p w14:paraId="0BCA8B11">
      <w:pPr>
        <w:pStyle w:val="20"/>
        <w:widowControl/>
        <w:spacing w:beforeAutospacing="0" w:afterAutospacing="0" w:line="360" w:lineRule="auto"/>
        <w:ind w:firstLine="420"/>
        <w:jc w:val="both"/>
        <w:rPr>
          <w:rFonts w:ascii="宋体" w:hAnsi="宋体" w:cs="仿宋"/>
          <w:color w:val="000000"/>
          <w:kern w:val="2"/>
          <w:sz w:val="21"/>
          <w:szCs w:val="21"/>
          <w:highlight w:val="none"/>
        </w:rPr>
      </w:pPr>
      <w:r>
        <w:rPr>
          <w:rFonts w:hint="eastAsia" w:ascii="Times New Roman" w:hAnsi="Times New Roman" w:eastAsia="宋体" w:cstheme="minorBidi"/>
          <w:kern w:val="2"/>
          <w:highlight w:val="none"/>
        </w:rPr>
        <w:t>西南交通大学出版社成立于1985年，是教育部主管、西南交通大学主办的大学出版社，同时拥有图书、音像制品和电子出版物出版权，在新闻出版总署首次全国经营性出版单位等级评估中被评为国家二级出版社，是学校事业的重要组成部分。西南交通大学茅以升学院（唐臣书院）是以我校杰出校友、老校长茅以升先生命名，以学校教育教学改革为依托，以“唐臣书院”建设为载体，致力于工科类研究型拔尖创新人才和跨学科交叉复合型人才培养的荣誉学院。为支持西南交通大学人才培养工作，促进学校一流本科教学建设，鼓励学生勤奋学习、热爱阅读、全面成才，出版社于2016年设立“西南交通大学‘交大出版·唐臣’奖学金”，为期10年，按学年评选。评选工作按照最新颁布的《西南交通大学本科生奖助学金评审管理办法》相关要求执行，具体评选办法如下：</w:t>
      </w:r>
    </w:p>
    <w:p w14:paraId="4B83F001">
      <w:pPr>
        <w:ind w:firstLine="0" w:firstLineChars="0"/>
        <w:rPr>
          <w:rFonts w:ascii="黑体" w:hAnsi="黑体" w:eastAsia="黑体"/>
          <w:b/>
          <w:szCs w:val="24"/>
          <w:highlight w:val="none"/>
        </w:rPr>
      </w:pPr>
      <w:r>
        <w:rPr>
          <w:rFonts w:hint="eastAsia" w:ascii="黑体" w:hAnsi="黑体" w:eastAsia="黑体"/>
          <w:b/>
          <w:szCs w:val="24"/>
          <w:highlight w:val="none"/>
        </w:rPr>
        <w:t>一、评奖范围</w:t>
      </w:r>
    </w:p>
    <w:p w14:paraId="3063E407">
      <w:pPr>
        <w:ind w:firstLine="480"/>
        <w:rPr>
          <w:rFonts w:ascii="宋体" w:hAnsi="宋体" w:cs="仿宋"/>
          <w:color w:val="000000"/>
          <w:szCs w:val="21"/>
          <w:highlight w:val="none"/>
        </w:rPr>
      </w:pPr>
      <w:r>
        <w:rPr>
          <w:rFonts w:hint="eastAsia" w:ascii="宋体" w:hAnsi="宋体" w:cs="仿宋"/>
          <w:color w:val="000000"/>
          <w:szCs w:val="21"/>
          <w:highlight w:val="none"/>
        </w:rPr>
        <w:t>西南交通大学茅以升学院及相关专业学院茅以升班大三、大四全日制本科生</w:t>
      </w:r>
    </w:p>
    <w:p w14:paraId="72FFE3A9">
      <w:pPr>
        <w:ind w:firstLine="0" w:firstLineChars="0"/>
        <w:rPr>
          <w:rFonts w:ascii="黑体" w:hAnsi="黑体" w:eastAsia="黑体"/>
          <w:b/>
          <w:szCs w:val="24"/>
          <w:highlight w:val="none"/>
        </w:rPr>
      </w:pPr>
      <w:r>
        <w:rPr>
          <w:rFonts w:hint="eastAsia" w:ascii="黑体" w:hAnsi="黑体" w:eastAsia="黑体"/>
          <w:b/>
          <w:szCs w:val="24"/>
          <w:highlight w:val="none"/>
        </w:rPr>
        <w:t>二、奖学金类别、奖励对象及人数</w:t>
      </w:r>
    </w:p>
    <w:p w14:paraId="08C9F03D">
      <w:pPr>
        <w:ind w:firstLine="480"/>
        <w:rPr>
          <w:rFonts w:ascii="宋体" w:hAnsi="宋体" w:cs="仿宋"/>
          <w:szCs w:val="21"/>
          <w:highlight w:val="none"/>
        </w:rPr>
      </w:pPr>
      <w:r>
        <w:rPr>
          <w:rFonts w:hint="eastAsia" w:ascii="宋体" w:hAnsi="宋体" w:cs="仿宋"/>
          <w:color w:val="000000"/>
          <w:szCs w:val="21"/>
          <w:highlight w:val="none"/>
        </w:rPr>
        <w:t>奖学金包括“荣誉学生奖”和“创新奖”两个类别</w:t>
      </w:r>
      <w:r>
        <w:rPr>
          <w:rFonts w:hint="eastAsia" w:ascii="宋体" w:hAnsi="宋体" w:cs="仿宋"/>
          <w:szCs w:val="21"/>
          <w:highlight w:val="none"/>
        </w:rPr>
        <w:t>，共13个名额，每年共发放奖学金人民币伍万圆整。其中：</w:t>
      </w:r>
    </w:p>
    <w:p w14:paraId="19B9FF43">
      <w:pPr>
        <w:ind w:firstLine="480"/>
        <w:rPr>
          <w:rFonts w:ascii="宋体" w:hAnsi="宋体" w:cs="仿宋"/>
          <w:color w:val="000000"/>
          <w:szCs w:val="21"/>
          <w:highlight w:val="none"/>
        </w:rPr>
      </w:pPr>
      <w:r>
        <w:rPr>
          <w:rFonts w:hint="eastAsia" w:ascii="宋体" w:hAnsi="宋体" w:cs="仿宋"/>
          <w:color w:val="000000"/>
          <w:szCs w:val="21"/>
          <w:highlight w:val="none"/>
        </w:rPr>
        <w:t>1、“荣誉学生奖”：每年奖励11人，奖励金额为人民币4000元/人·年；</w:t>
      </w:r>
    </w:p>
    <w:p w14:paraId="3590BF14">
      <w:pPr>
        <w:ind w:firstLine="480"/>
        <w:rPr>
          <w:rFonts w:ascii="宋体" w:hAnsi="宋体" w:cs="仿宋"/>
          <w:color w:val="000000"/>
          <w:szCs w:val="21"/>
          <w:highlight w:val="none"/>
        </w:rPr>
      </w:pPr>
      <w:r>
        <w:rPr>
          <w:rFonts w:hint="eastAsia" w:ascii="宋体" w:hAnsi="宋体" w:cs="仿宋"/>
          <w:color w:val="000000"/>
          <w:szCs w:val="21"/>
          <w:highlight w:val="none"/>
        </w:rPr>
        <w:t>2、“创新奖”：每年奖</w:t>
      </w:r>
      <w:r>
        <w:rPr>
          <w:rFonts w:hint="eastAsia" w:ascii="宋体" w:hAnsi="宋体" w:cs="仿宋"/>
          <w:szCs w:val="21"/>
          <w:highlight w:val="none"/>
        </w:rPr>
        <w:t>励2人</w:t>
      </w:r>
      <w:r>
        <w:rPr>
          <w:rFonts w:hint="eastAsia" w:ascii="宋体" w:hAnsi="宋体" w:cs="仿宋"/>
          <w:color w:val="000000"/>
          <w:szCs w:val="21"/>
          <w:highlight w:val="none"/>
        </w:rPr>
        <w:t xml:space="preserve">，奖励金额人民币3000元/人·年。         </w:t>
      </w:r>
    </w:p>
    <w:p w14:paraId="4378D6A0">
      <w:pPr>
        <w:ind w:firstLine="0" w:firstLineChars="0"/>
        <w:rPr>
          <w:rFonts w:ascii="黑体" w:hAnsi="黑体" w:eastAsia="黑体"/>
          <w:b/>
          <w:szCs w:val="24"/>
          <w:highlight w:val="none"/>
        </w:rPr>
      </w:pPr>
      <w:r>
        <w:rPr>
          <w:rFonts w:hint="eastAsia" w:ascii="黑体" w:hAnsi="黑体" w:eastAsia="黑体"/>
          <w:b/>
          <w:szCs w:val="24"/>
          <w:highlight w:val="none"/>
        </w:rPr>
        <w:t xml:space="preserve"> 三、评选条件</w:t>
      </w:r>
    </w:p>
    <w:p w14:paraId="79436EDD">
      <w:pPr>
        <w:ind w:firstLine="480"/>
        <w:rPr>
          <w:rFonts w:ascii="宋体" w:hAnsi="宋体" w:cs="仿宋"/>
          <w:color w:val="000000"/>
          <w:szCs w:val="21"/>
          <w:highlight w:val="none"/>
        </w:rPr>
      </w:pPr>
      <w:r>
        <w:rPr>
          <w:rFonts w:hint="eastAsia" w:ascii="宋体" w:hAnsi="宋体" w:cs="仿宋"/>
          <w:color w:val="000000"/>
          <w:szCs w:val="21"/>
          <w:highlight w:val="none"/>
        </w:rPr>
        <w:t>1、热爱社会主义祖国，拥护中国共产党的领导，道德品质优良，遵纪守法；</w:t>
      </w:r>
    </w:p>
    <w:p w14:paraId="4C465E48">
      <w:pPr>
        <w:ind w:firstLine="480"/>
        <w:rPr>
          <w:rFonts w:ascii="宋体" w:hAnsi="宋体" w:cs="仿宋"/>
          <w:color w:val="000000"/>
          <w:szCs w:val="21"/>
          <w:highlight w:val="none"/>
        </w:rPr>
      </w:pPr>
      <w:r>
        <w:rPr>
          <w:rFonts w:hint="eastAsia" w:ascii="宋体" w:hAnsi="宋体" w:cs="仿宋"/>
          <w:color w:val="000000"/>
          <w:szCs w:val="21"/>
          <w:highlight w:val="none"/>
        </w:rPr>
        <w:t xml:space="preserve">2、勤奋学习，学习成绩优良； </w:t>
      </w:r>
    </w:p>
    <w:p w14:paraId="77F83533">
      <w:pPr>
        <w:ind w:firstLine="480"/>
        <w:rPr>
          <w:rFonts w:ascii="宋体" w:hAnsi="宋体" w:cs="仿宋"/>
          <w:color w:val="000000"/>
          <w:szCs w:val="21"/>
          <w:highlight w:val="none"/>
        </w:rPr>
      </w:pPr>
      <w:r>
        <w:rPr>
          <w:rFonts w:hint="eastAsia" w:ascii="宋体" w:hAnsi="宋体" w:cs="仿宋"/>
          <w:color w:val="000000"/>
          <w:szCs w:val="21"/>
          <w:highlight w:val="none"/>
        </w:rPr>
        <w:t>3、积极参加社会工作、体育锻炼、科创文艺等集体活动，德、智、体、美、劳全面发展，综合素质好；</w:t>
      </w:r>
    </w:p>
    <w:p w14:paraId="730FB73D">
      <w:pPr>
        <w:ind w:firstLine="480"/>
        <w:rPr>
          <w:rFonts w:ascii="宋体" w:hAnsi="宋体" w:cs="仿宋"/>
          <w:color w:val="000000"/>
          <w:szCs w:val="21"/>
          <w:highlight w:val="none"/>
        </w:rPr>
      </w:pPr>
      <w:r>
        <w:rPr>
          <w:rFonts w:hint="eastAsia" w:ascii="宋体" w:hAnsi="宋体" w:cs="仿宋"/>
          <w:szCs w:val="21"/>
          <w:highlight w:val="none"/>
        </w:rPr>
        <w:t>4、“荣誉学生奖”评奖学年综合考评成绩排名需位于前30%，“创新奖”评奖学年综合考评成绩排名需位于前40%；</w:t>
      </w:r>
      <w:r>
        <w:rPr>
          <w:rFonts w:ascii="宋体" w:hAnsi="宋体" w:cs="仿宋"/>
          <w:color w:val="000000"/>
          <w:szCs w:val="21"/>
          <w:highlight w:val="none"/>
        </w:rPr>
        <w:t xml:space="preserve"> </w:t>
      </w:r>
    </w:p>
    <w:p w14:paraId="74AD57EE">
      <w:pPr>
        <w:ind w:firstLine="480"/>
        <w:rPr>
          <w:rFonts w:ascii="宋体" w:hAnsi="宋体" w:cs="仿宋"/>
          <w:color w:val="000000"/>
          <w:szCs w:val="21"/>
          <w:highlight w:val="none"/>
        </w:rPr>
      </w:pPr>
      <w:r>
        <w:rPr>
          <w:rFonts w:hint="eastAsia" w:ascii="宋体" w:hAnsi="宋体" w:cs="仿宋"/>
          <w:color w:val="000000"/>
          <w:szCs w:val="21"/>
          <w:highlight w:val="none"/>
        </w:rPr>
        <w:t>5、</w:t>
      </w:r>
      <w:r>
        <w:rPr>
          <w:rFonts w:hint="eastAsia" w:ascii="宋体" w:hAnsi="宋体" w:cs="仿宋"/>
          <w:szCs w:val="21"/>
          <w:highlight w:val="none"/>
        </w:rPr>
        <w:t>学生需通过大学英语</w:t>
      </w:r>
      <w:r>
        <w:rPr>
          <w:rFonts w:ascii="宋体" w:hAnsi="宋体" w:cs="仿宋"/>
          <w:szCs w:val="21"/>
          <w:highlight w:val="none"/>
        </w:rPr>
        <w:t>六</w:t>
      </w:r>
      <w:r>
        <w:rPr>
          <w:rFonts w:hint="eastAsia" w:ascii="宋体" w:hAnsi="宋体" w:cs="仿宋"/>
          <w:szCs w:val="21"/>
          <w:highlight w:val="none"/>
        </w:rPr>
        <w:t>级考试；</w:t>
      </w:r>
      <w:r>
        <w:rPr>
          <w:rFonts w:ascii="宋体" w:hAnsi="宋体" w:cs="仿宋"/>
          <w:szCs w:val="21"/>
          <w:highlight w:val="none"/>
        </w:rPr>
        <w:t xml:space="preserve"> </w:t>
      </w:r>
    </w:p>
    <w:p w14:paraId="521AE381">
      <w:pPr>
        <w:ind w:firstLine="480"/>
        <w:rPr>
          <w:rFonts w:ascii="宋体" w:hAnsi="宋体" w:cs="仿宋"/>
          <w:szCs w:val="21"/>
          <w:highlight w:val="none"/>
        </w:rPr>
      </w:pPr>
      <w:r>
        <w:rPr>
          <w:rFonts w:hint="eastAsia" w:ascii="宋体" w:hAnsi="宋体" w:cs="仿宋"/>
          <w:color w:val="000000"/>
          <w:szCs w:val="21"/>
          <w:highlight w:val="none"/>
        </w:rPr>
        <w:t>6、申请“交大出版·唐臣”创新奖</w:t>
      </w:r>
      <w:r>
        <w:rPr>
          <w:rFonts w:hint="eastAsia" w:ascii="宋体" w:hAnsi="宋体" w:cs="仿宋"/>
          <w:szCs w:val="21"/>
          <w:highlight w:val="none"/>
        </w:rPr>
        <w:t>需在省级及以上学科竞赛中获奖，或在</w:t>
      </w:r>
      <w:r>
        <w:rPr>
          <w:rFonts w:ascii="Arial" w:hAnsi="Arial" w:cs="Arial"/>
          <w:highlight w:val="none"/>
        </w:rPr>
        <w:t>国内核心期刊及以上</w:t>
      </w:r>
      <w:r>
        <w:rPr>
          <w:rFonts w:hint="eastAsia" w:ascii="Arial" w:hAnsi="Arial" w:cs="Arial"/>
          <w:highlight w:val="none"/>
        </w:rPr>
        <w:t>以</w:t>
      </w:r>
      <w:r>
        <w:rPr>
          <w:rFonts w:ascii="Arial" w:hAnsi="Arial" w:cs="Arial"/>
          <w:highlight w:val="none"/>
        </w:rPr>
        <w:t>第一作者</w:t>
      </w:r>
      <w:r>
        <w:rPr>
          <w:rFonts w:hint="eastAsia" w:ascii="宋体" w:hAnsi="宋体" w:cs="仿宋"/>
          <w:szCs w:val="21"/>
          <w:highlight w:val="none"/>
        </w:rPr>
        <w:t>发表科研论文</w:t>
      </w:r>
      <w:r>
        <w:rPr>
          <w:rFonts w:hint="eastAsia" w:ascii="宋体" w:hAnsi="宋体" w:cs="仿宋"/>
          <w:color w:val="000000"/>
          <w:szCs w:val="21"/>
          <w:highlight w:val="none"/>
        </w:rPr>
        <w:t>，或取得发明专利。</w:t>
      </w:r>
      <w:r>
        <w:rPr>
          <w:rFonts w:hint="eastAsia" w:ascii="宋体" w:hAnsi="宋体" w:cs="仿宋"/>
          <w:szCs w:val="21"/>
          <w:highlight w:val="none"/>
        </w:rPr>
        <w:t>学科竞赛、科研论文及发明专利具体要求</w:t>
      </w:r>
      <w:r>
        <w:rPr>
          <w:rFonts w:ascii="Arial" w:hAnsi="Arial" w:cs="Arial"/>
          <w:highlight w:val="none"/>
        </w:rPr>
        <w:t>与教务处免试研究生推荐规定一致</w:t>
      </w:r>
      <w:r>
        <w:rPr>
          <w:rFonts w:hint="eastAsia" w:ascii="Arial" w:hAnsi="Arial" w:cs="Arial"/>
          <w:highlight w:val="none"/>
        </w:rPr>
        <w:t>。</w:t>
      </w:r>
    </w:p>
    <w:p w14:paraId="2324785D">
      <w:pPr>
        <w:ind w:firstLine="0" w:firstLineChars="0"/>
        <w:rPr>
          <w:rFonts w:ascii="黑体" w:hAnsi="黑体" w:eastAsia="黑体"/>
          <w:b/>
          <w:szCs w:val="24"/>
          <w:highlight w:val="none"/>
        </w:rPr>
      </w:pPr>
      <w:r>
        <w:rPr>
          <w:rFonts w:hint="eastAsia" w:ascii="黑体" w:hAnsi="黑体" w:eastAsia="黑体"/>
          <w:b/>
          <w:szCs w:val="24"/>
          <w:highlight w:val="none"/>
        </w:rPr>
        <w:t xml:space="preserve">    四、评选程序</w:t>
      </w:r>
    </w:p>
    <w:p w14:paraId="41584DB0">
      <w:pPr>
        <w:ind w:firstLine="480"/>
        <w:rPr>
          <w:rFonts w:ascii="宋体" w:hAnsi="宋体" w:cs="仿宋"/>
          <w:color w:val="000000"/>
          <w:szCs w:val="21"/>
          <w:highlight w:val="none"/>
        </w:rPr>
      </w:pPr>
      <w:r>
        <w:rPr>
          <w:rFonts w:hint="eastAsia" w:ascii="宋体" w:hAnsi="宋体" w:cs="仿宋"/>
          <w:color w:val="000000"/>
          <w:szCs w:val="21"/>
          <w:highlight w:val="none"/>
        </w:rPr>
        <w:t>评选工作由茅以升学院学生奖励评审小组组织实施，评定程序依照西南交通大学专项奖学金评定程序执行，评奖结果在学校学生处备案。</w:t>
      </w:r>
    </w:p>
    <w:p w14:paraId="3DC54991">
      <w:pPr>
        <w:ind w:firstLine="0" w:firstLineChars="0"/>
        <w:rPr>
          <w:rFonts w:ascii="黑体" w:hAnsi="黑体" w:eastAsia="黑体"/>
          <w:b/>
          <w:szCs w:val="24"/>
          <w:highlight w:val="none"/>
        </w:rPr>
      </w:pPr>
      <w:r>
        <w:rPr>
          <w:rFonts w:hint="eastAsia" w:ascii="黑体" w:hAnsi="黑体" w:eastAsia="黑体"/>
          <w:b/>
          <w:szCs w:val="24"/>
          <w:highlight w:val="none"/>
        </w:rPr>
        <w:t>附则</w:t>
      </w:r>
    </w:p>
    <w:p w14:paraId="795DFE42">
      <w:pPr>
        <w:ind w:firstLine="480"/>
        <w:rPr>
          <w:rFonts w:ascii="宋体" w:hAnsi="宋体" w:cs="仿宋"/>
          <w:color w:val="000000"/>
          <w:szCs w:val="21"/>
          <w:highlight w:val="none"/>
        </w:rPr>
      </w:pPr>
      <w:r>
        <w:rPr>
          <w:rFonts w:hint="eastAsia" w:ascii="宋体" w:hAnsi="宋体" w:cs="仿宋"/>
          <w:color w:val="000000"/>
          <w:szCs w:val="21"/>
          <w:highlight w:val="none"/>
        </w:rPr>
        <w:t>1、本办法自正式公布之日起施行。</w:t>
      </w:r>
    </w:p>
    <w:p w14:paraId="74107A9C">
      <w:pPr>
        <w:ind w:firstLine="480"/>
        <w:rPr>
          <w:rFonts w:ascii="宋体" w:hAnsi="宋体" w:cs="仿宋"/>
          <w:color w:val="000000"/>
          <w:szCs w:val="21"/>
          <w:highlight w:val="none"/>
        </w:rPr>
      </w:pPr>
      <w:r>
        <w:rPr>
          <w:rFonts w:hint="eastAsia" w:ascii="宋体" w:hAnsi="宋体" w:cs="仿宋"/>
          <w:color w:val="000000"/>
          <w:szCs w:val="21"/>
          <w:highlight w:val="none"/>
        </w:rPr>
        <w:t>2、本办法的解释权归茅以升学院所有。</w:t>
      </w:r>
    </w:p>
    <w:p w14:paraId="1D8CE4E1">
      <w:pPr>
        <w:ind w:firstLine="480"/>
        <w:rPr>
          <w:rFonts w:ascii="宋体" w:hAnsi="宋体" w:cs="仿宋"/>
          <w:color w:val="000000"/>
          <w:szCs w:val="21"/>
          <w:highlight w:val="none"/>
        </w:rPr>
      </w:pPr>
    </w:p>
    <w:p w14:paraId="466E4D69">
      <w:pPr>
        <w:ind w:firstLine="480"/>
        <w:rPr>
          <w:rFonts w:ascii="宋体" w:hAnsi="宋体" w:cs="仿宋"/>
          <w:color w:val="000000"/>
          <w:szCs w:val="21"/>
          <w:highlight w:val="none"/>
        </w:rPr>
      </w:pPr>
    </w:p>
    <w:p w14:paraId="20FB2414">
      <w:pPr>
        <w:ind w:firstLine="480"/>
        <w:rPr>
          <w:rFonts w:ascii="宋体" w:hAnsi="宋体" w:cs="仿宋"/>
          <w:color w:val="000000"/>
          <w:szCs w:val="21"/>
          <w:highlight w:val="none"/>
        </w:rPr>
      </w:pPr>
    </w:p>
    <w:p w14:paraId="46F0F5C6">
      <w:pPr>
        <w:ind w:firstLine="480"/>
        <w:jc w:val="right"/>
        <w:rPr>
          <w:rFonts w:ascii="宋体" w:hAnsi="宋体" w:cs="仿宋"/>
          <w:color w:val="000000"/>
          <w:szCs w:val="21"/>
          <w:highlight w:val="none"/>
        </w:rPr>
      </w:pPr>
      <w:r>
        <w:rPr>
          <w:rFonts w:hint="eastAsia" w:ascii="宋体" w:hAnsi="宋体" w:cs="仿宋"/>
          <w:color w:val="000000"/>
          <w:szCs w:val="21"/>
          <w:highlight w:val="none"/>
        </w:rPr>
        <w:t>西南交通大学茅以升学院</w:t>
      </w:r>
    </w:p>
    <w:p w14:paraId="4E7DD24E">
      <w:pPr>
        <w:ind w:firstLine="480"/>
        <w:jc w:val="right"/>
        <w:rPr>
          <w:rFonts w:ascii="宋体" w:hAnsi="宋体" w:cs="仿宋"/>
          <w:color w:val="000000"/>
          <w:szCs w:val="21"/>
          <w:highlight w:val="none"/>
        </w:rPr>
      </w:pPr>
      <w:r>
        <w:rPr>
          <w:rFonts w:hint="eastAsia" w:ascii="宋体" w:hAnsi="宋体" w:cs="仿宋"/>
          <w:color w:val="000000"/>
          <w:szCs w:val="21"/>
          <w:highlight w:val="none"/>
        </w:rPr>
        <w:t>2021年9月27日</w:t>
      </w:r>
    </w:p>
    <w:p w14:paraId="741583DD">
      <w:pPr>
        <w:ind w:firstLine="480"/>
        <w:jc w:val="right"/>
        <w:rPr>
          <w:rFonts w:ascii="宋体" w:hAnsi="宋体" w:cs="仿宋"/>
          <w:color w:val="000000"/>
          <w:szCs w:val="21"/>
          <w:highlight w:val="none"/>
        </w:rPr>
      </w:pPr>
    </w:p>
    <w:p w14:paraId="1A8700B8">
      <w:pPr>
        <w:ind w:firstLine="480"/>
        <w:rPr>
          <w:rFonts w:ascii="宋体" w:hAnsi="宋体" w:cs="仿宋"/>
          <w:color w:val="000000"/>
          <w:szCs w:val="21"/>
          <w:highlight w:val="none"/>
        </w:rPr>
      </w:pPr>
    </w:p>
    <w:p w14:paraId="7E70AFE5">
      <w:pPr>
        <w:ind w:firstLine="0" w:firstLineChars="0"/>
        <w:rPr>
          <w:rFonts w:hint="eastAsia"/>
          <w:highlight w:val="none"/>
        </w:rPr>
      </w:pPr>
    </w:p>
    <w:p w14:paraId="2434DB7A">
      <w:pPr>
        <w:ind w:left="0" w:leftChars="0" w:firstLine="0" w:firstLineChars="0"/>
        <w:rPr>
          <w:rFonts w:hint="eastAsia"/>
          <w:highlight w:val="none"/>
        </w:rPr>
        <w:sectPr>
          <w:pgSz w:w="11906" w:h="16838"/>
          <w:pgMar w:top="1440" w:right="1800" w:bottom="1440" w:left="1800" w:header="708" w:footer="708" w:gutter="0"/>
          <w:pgNumType w:fmt="decimal"/>
          <w:cols w:space="708" w:num="1"/>
          <w:docGrid w:linePitch="360" w:charSpace="0"/>
        </w:sectPr>
      </w:pPr>
    </w:p>
    <w:p w14:paraId="23CF97AF">
      <w:pPr>
        <w:pStyle w:val="2"/>
        <w:bidi w:val="0"/>
      </w:pPr>
      <w:bookmarkStart w:id="4" w:name="_Toc6351"/>
      <w:r>
        <w:rPr>
          <w:rFonts w:hint="eastAsia"/>
        </w:rPr>
        <w:t>西南交通大学茅以升学院“洋光启航奖学金”评定办法</w:t>
      </w:r>
      <w:bookmarkEnd w:id="4"/>
    </w:p>
    <w:p w14:paraId="4E6080B6">
      <w:pPr>
        <w:pStyle w:val="20"/>
        <w:shd w:val="clear" w:color="auto" w:fill="FFFFFF"/>
        <w:spacing w:before="0" w:beforeAutospacing="0" w:after="0" w:afterAutospacing="0" w:line="360" w:lineRule="auto"/>
        <w:ind w:firstLine="440" w:firstLineChars="200"/>
        <w:rPr>
          <w:rFonts w:cs="Arial"/>
          <w:color w:val="000000"/>
          <w:sz w:val="22"/>
          <w:szCs w:val="21"/>
        </w:rPr>
      </w:pPr>
    </w:p>
    <w:p w14:paraId="0DD0544B">
      <w:pPr>
        <w:pStyle w:val="20"/>
        <w:shd w:val="clear" w:color="auto" w:fill="FFFFFF"/>
        <w:spacing w:before="0" w:beforeAutospacing="0" w:after="0" w:afterAutospacing="0" w:line="360" w:lineRule="auto"/>
        <w:ind w:firstLine="480" w:firstLineChars="200"/>
        <w:rPr>
          <w:rFonts w:cs="Arial"/>
          <w:color w:val="000000"/>
          <w:szCs w:val="21"/>
        </w:rPr>
      </w:pPr>
      <w:r>
        <w:rPr>
          <w:rFonts w:cs="Arial"/>
          <w:color w:val="000000"/>
          <w:szCs w:val="21"/>
        </w:rPr>
        <w:t>西南交通大学</w:t>
      </w:r>
      <w:r>
        <w:rPr>
          <w:rFonts w:hint="eastAsia" w:cs="Arial"/>
          <w:color w:val="000000"/>
          <w:szCs w:val="21"/>
        </w:rPr>
        <w:t>茅以升</w:t>
      </w:r>
      <w:r>
        <w:rPr>
          <w:rFonts w:cs="Arial"/>
          <w:color w:val="000000"/>
          <w:szCs w:val="21"/>
        </w:rPr>
        <w:t>学院</w:t>
      </w:r>
      <w:r>
        <w:rPr>
          <w:rFonts w:hint="eastAsia" w:cs="Arial"/>
          <w:color w:val="000000"/>
          <w:szCs w:val="21"/>
        </w:rPr>
        <w:t>“洋光启航奖学金”</w:t>
      </w:r>
      <w:r>
        <w:rPr>
          <w:rFonts w:cs="Arial"/>
          <w:color w:val="000000"/>
          <w:szCs w:val="21"/>
        </w:rPr>
        <w:t>系</w:t>
      </w:r>
      <w:r>
        <w:rPr>
          <w:rFonts w:hint="eastAsia" w:cs="Arial"/>
          <w:color w:val="000000"/>
          <w:szCs w:val="21"/>
        </w:rPr>
        <w:t>成都世言科技有限公司</w:t>
      </w:r>
      <w:r>
        <w:rPr>
          <w:rFonts w:cs="Arial"/>
          <w:color w:val="000000"/>
          <w:szCs w:val="21"/>
        </w:rPr>
        <w:t>于2024年9月捐赠设立，</w:t>
      </w:r>
      <w:r>
        <w:rPr>
          <w:rFonts w:hint="eastAsia" w:cs="Arial"/>
          <w:color w:val="000000"/>
          <w:szCs w:val="21"/>
        </w:rPr>
        <w:t>为期1</w:t>
      </w:r>
      <w:r>
        <w:rPr>
          <w:rFonts w:cs="Arial"/>
          <w:color w:val="000000"/>
          <w:szCs w:val="21"/>
        </w:rPr>
        <w:t>0</w:t>
      </w:r>
      <w:r>
        <w:rPr>
          <w:rFonts w:hint="eastAsia" w:cs="Arial"/>
          <w:color w:val="000000"/>
          <w:szCs w:val="21"/>
        </w:rPr>
        <w:t>年，按学年评选，</w:t>
      </w:r>
      <w:r>
        <w:rPr>
          <w:rFonts w:cs="Arial"/>
          <w:color w:val="000000"/>
          <w:szCs w:val="21"/>
        </w:rPr>
        <w:t>用于奖励</w:t>
      </w:r>
      <w:r>
        <w:rPr>
          <w:rFonts w:hint="eastAsia" w:cs="Arial"/>
          <w:color w:val="000000"/>
          <w:szCs w:val="21"/>
        </w:rPr>
        <w:t>茅以升学院</w:t>
      </w:r>
      <w:r>
        <w:rPr>
          <w:rFonts w:cs="Arial"/>
          <w:color w:val="000000"/>
          <w:szCs w:val="21"/>
        </w:rPr>
        <w:t>品学兼优的本科在校学生，提升学院本科人才培养质量，促进学生全面更好发展</w:t>
      </w:r>
      <w:r>
        <w:rPr>
          <w:rFonts w:hint="eastAsia" w:cs="Arial"/>
          <w:color w:val="000000"/>
          <w:szCs w:val="21"/>
        </w:rPr>
        <w:t>。</w:t>
      </w:r>
    </w:p>
    <w:p w14:paraId="2957E629">
      <w:pPr>
        <w:pStyle w:val="20"/>
        <w:shd w:val="clear" w:color="auto" w:fill="FFFFFF"/>
        <w:spacing w:before="0" w:beforeAutospacing="0" w:after="0" w:afterAutospacing="0" w:line="360" w:lineRule="auto"/>
        <w:ind w:firstLine="480" w:firstLineChars="200"/>
        <w:rPr>
          <w:rFonts w:cs="Arial"/>
          <w:color w:val="000000"/>
          <w:szCs w:val="21"/>
        </w:rPr>
      </w:pPr>
      <w:r>
        <w:rPr>
          <w:rFonts w:cs="Arial"/>
          <w:color w:val="000000"/>
          <w:szCs w:val="21"/>
        </w:rPr>
        <w:t>一、</w:t>
      </w:r>
      <w:r>
        <w:rPr>
          <w:rFonts w:hint="eastAsia" w:cs="Arial"/>
          <w:color w:val="000000"/>
          <w:szCs w:val="21"/>
        </w:rPr>
        <w:t>捐赠公司简介</w:t>
      </w:r>
    </w:p>
    <w:p w14:paraId="087847C4">
      <w:pPr>
        <w:pStyle w:val="20"/>
        <w:shd w:val="clear" w:color="auto" w:fill="FFFFFF"/>
        <w:spacing w:before="0" w:beforeAutospacing="0" w:after="0" w:afterAutospacing="0" w:line="360" w:lineRule="auto"/>
        <w:ind w:firstLine="480" w:firstLineChars="200"/>
        <w:rPr>
          <w:rFonts w:cs="Arial"/>
          <w:color w:val="000000"/>
          <w:szCs w:val="21"/>
        </w:rPr>
      </w:pPr>
      <w:r>
        <w:rPr>
          <w:rFonts w:hint="eastAsia" w:cs="Arial"/>
          <w:color w:val="000000"/>
          <w:szCs w:val="21"/>
        </w:rPr>
        <w:t>成都世言科技有限公司是湖南洋光在线教育科技有限责任公司的子公司。湖南洋光在线教育科技有限责任公司拥有品牌“洋光小语种”，始于</w:t>
      </w:r>
      <w:r>
        <w:rPr>
          <w:rFonts w:cs="Arial"/>
          <w:color w:val="000000"/>
          <w:szCs w:val="21"/>
        </w:rPr>
        <w:t>1986年，总办学面积近20000平方米，是一家专注日语、韩语、法语、德语、西班牙语等语种的专业语言培训集团，也是专注小语种培训的湖南股交所唯一挂牌机构。</w:t>
      </w:r>
      <w:r>
        <w:rPr>
          <w:rFonts w:hint="eastAsia" w:cs="Arial"/>
          <w:color w:val="000000"/>
          <w:szCs w:val="21"/>
        </w:rPr>
        <w:t>历经数十年发展，覆盖全国十大城市，累计培训学员</w:t>
      </w:r>
      <w:r>
        <w:rPr>
          <w:rFonts w:cs="Arial"/>
          <w:color w:val="000000"/>
          <w:szCs w:val="21"/>
        </w:rPr>
        <w:t>30万+，是全国规模大、培训学员人数众多的小语种培训机构。</w:t>
      </w:r>
      <w:r>
        <w:rPr>
          <w:rFonts w:hint="eastAsia" w:cs="Arial"/>
          <w:color w:val="000000"/>
          <w:szCs w:val="21"/>
        </w:rPr>
        <w:t>洋光小语种致力于让中国年轻人在大学期间学会</w:t>
      </w:r>
      <w:r>
        <w:rPr>
          <w:rFonts w:cs="Arial"/>
          <w:color w:val="000000"/>
          <w:szCs w:val="21"/>
        </w:rPr>
        <w:t>2－3门外语，增加未来更多的可能性，为国家培养新一代国际化人才，为祖国的发展和民族伟大复兴做出自己的贡献！</w:t>
      </w:r>
    </w:p>
    <w:p w14:paraId="073C1F9E">
      <w:pPr>
        <w:pStyle w:val="20"/>
        <w:shd w:val="clear" w:color="auto" w:fill="FFFFFF"/>
        <w:spacing w:before="0" w:beforeAutospacing="0" w:after="0" w:afterAutospacing="0" w:line="360" w:lineRule="auto"/>
        <w:ind w:firstLine="480" w:firstLineChars="200"/>
        <w:rPr>
          <w:rFonts w:cs="Arial"/>
          <w:color w:val="000000"/>
          <w:szCs w:val="21"/>
        </w:rPr>
      </w:pPr>
      <w:r>
        <w:rPr>
          <w:rFonts w:hint="eastAsia" w:cs="Arial"/>
          <w:color w:val="000000"/>
          <w:szCs w:val="21"/>
        </w:rPr>
        <w:t>二、</w:t>
      </w:r>
      <w:r>
        <w:rPr>
          <w:rFonts w:cs="Arial"/>
          <w:color w:val="000000"/>
          <w:szCs w:val="21"/>
        </w:rPr>
        <w:t>评奖范围</w:t>
      </w:r>
    </w:p>
    <w:p w14:paraId="7E274BDF">
      <w:pPr>
        <w:pStyle w:val="20"/>
        <w:shd w:val="clear" w:color="auto" w:fill="FFFFFF"/>
        <w:spacing w:before="0" w:beforeAutospacing="0" w:after="0" w:afterAutospacing="0" w:line="360" w:lineRule="auto"/>
        <w:ind w:firstLine="480" w:firstLineChars="200"/>
        <w:rPr>
          <w:rFonts w:cs="Arial"/>
          <w:color w:val="000000"/>
          <w:szCs w:val="21"/>
        </w:rPr>
      </w:pPr>
      <w:r>
        <w:rPr>
          <w:rFonts w:cs="Arial"/>
          <w:color w:val="000000"/>
          <w:szCs w:val="21"/>
        </w:rPr>
        <w:t>西南交通大学</w:t>
      </w:r>
      <w:r>
        <w:rPr>
          <w:rFonts w:hint="eastAsia" w:cs="Arial"/>
          <w:color w:val="000000"/>
          <w:szCs w:val="21"/>
        </w:rPr>
        <w:t>茅以升</w:t>
      </w:r>
      <w:r>
        <w:rPr>
          <w:rFonts w:cs="Arial"/>
          <w:color w:val="000000"/>
          <w:szCs w:val="21"/>
        </w:rPr>
        <w:t>学院</w:t>
      </w:r>
      <w:r>
        <w:rPr>
          <w:rFonts w:hint="eastAsia" w:cs="Arial"/>
          <w:color w:val="000000"/>
          <w:szCs w:val="21"/>
        </w:rPr>
        <w:t>在读全日制大二及以上</w:t>
      </w:r>
      <w:r>
        <w:rPr>
          <w:rFonts w:cs="Arial"/>
          <w:color w:val="000000"/>
          <w:szCs w:val="21"/>
        </w:rPr>
        <w:t>本科生。</w:t>
      </w:r>
    </w:p>
    <w:p w14:paraId="4E7C3C15">
      <w:pPr>
        <w:pStyle w:val="20"/>
        <w:shd w:val="clear" w:color="auto" w:fill="FFFFFF"/>
        <w:spacing w:before="0" w:beforeAutospacing="0" w:after="0" w:afterAutospacing="0" w:line="360" w:lineRule="auto"/>
        <w:ind w:firstLine="480" w:firstLineChars="200"/>
        <w:rPr>
          <w:rFonts w:cs="Arial"/>
          <w:color w:val="000000"/>
          <w:szCs w:val="21"/>
        </w:rPr>
      </w:pPr>
      <w:r>
        <w:rPr>
          <w:rFonts w:hint="eastAsia" w:cs="Arial"/>
          <w:color w:val="000000"/>
          <w:szCs w:val="21"/>
        </w:rPr>
        <w:t>三</w:t>
      </w:r>
      <w:r>
        <w:rPr>
          <w:rFonts w:cs="Arial"/>
          <w:color w:val="000000"/>
          <w:szCs w:val="21"/>
        </w:rPr>
        <w:t>、奖励人数及金额</w:t>
      </w:r>
    </w:p>
    <w:p w14:paraId="4DED2CB7">
      <w:pPr>
        <w:pStyle w:val="20"/>
        <w:shd w:val="clear" w:color="auto" w:fill="FFFFFF"/>
        <w:spacing w:before="0" w:beforeAutospacing="0" w:after="0" w:afterAutospacing="0" w:line="360" w:lineRule="auto"/>
        <w:ind w:firstLine="480" w:firstLineChars="200"/>
        <w:rPr>
          <w:rFonts w:cs="Arial"/>
          <w:color w:val="000000"/>
          <w:szCs w:val="21"/>
        </w:rPr>
      </w:pPr>
      <w:r>
        <w:rPr>
          <w:rFonts w:cs="Arial"/>
          <w:color w:val="000000"/>
          <w:szCs w:val="21"/>
        </w:rPr>
        <w:t>每学年奖励10名本科生，每人奖励人民币</w:t>
      </w:r>
      <w:r>
        <w:rPr>
          <w:rFonts w:hint="eastAsia" w:cs="Arial"/>
          <w:szCs w:val="21"/>
        </w:rPr>
        <w:t>3</w:t>
      </w:r>
      <w:r>
        <w:rPr>
          <w:rFonts w:cs="Arial"/>
          <w:szCs w:val="21"/>
        </w:rPr>
        <w:t>000</w:t>
      </w:r>
      <w:r>
        <w:rPr>
          <w:rFonts w:cs="Arial"/>
          <w:color w:val="000000"/>
          <w:szCs w:val="21"/>
        </w:rPr>
        <w:t>元。</w:t>
      </w:r>
    </w:p>
    <w:p w14:paraId="43DB4D12">
      <w:pPr>
        <w:pStyle w:val="20"/>
        <w:shd w:val="clear" w:color="auto" w:fill="FFFFFF"/>
        <w:spacing w:before="0" w:beforeAutospacing="0" w:after="0" w:afterAutospacing="0" w:line="360" w:lineRule="auto"/>
        <w:ind w:firstLine="480" w:firstLineChars="200"/>
        <w:rPr>
          <w:rFonts w:cs="Arial"/>
          <w:color w:val="000000"/>
          <w:szCs w:val="21"/>
        </w:rPr>
      </w:pPr>
      <w:r>
        <w:rPr>
          <w:rFonts w:hint="eastAsia" w:cs="Arial"/>
          <w:color w:val="000000"/>
          <w:szCs w:val="21"/>
        </w:rPr>
        <w:t>四</w:t>
      </w:r>
      <w:r>
        <w:rPr>
          <w:rFonts w:cs="Arial"/>
          <w:color w:val="000000"/>
          <w:szCs w:val="21"/>
        </w:rPr>
        <w:t>、申请条件</w:t>
      </w:r>
    </w:p>
    <w:p w14:paraId="14D2E65B">
      <w:pPr>
        <w:spacing w:line="360" w:lineRule="auto"/>
        <w:ind w:firstLine="480" w:firstLineChars="200"/>
        <w:rPr>
          <w:rFonts w:ascii="宋体" w:hAnsi="宋体" w:eastAsia="宋体" w:cs="宋体"/>
          <w:sz w:val="24"/>
          <w:szCs w:val="24"/>
        </w:rPr>
      </w:pPr>
      <w:r>
        <w:rPr>
          <w:rFonts w:ascii="宋体" w:hAnsi="宋体" w:eastAsia="宋体" w:cs="宋体"/>
          <w:sz w:val="24"/>
          <w:szCs w:val="24"/>
        </w:rPr>
        <w:t>1</w:t>
      </w:r>
      <w:r>
        <w:rPr>
          <w:rFonts w:hint="eastAsia" w:ascii="宋体" w:hAnsi="宋体" w:eastAsia="宋体" w:cs="宋体"/>
          <w:sz w:val="24"/>
          <w:szCs w:val="24"/>
        </w:rPr>
        <w:t>．热爱社会主义祖国，拥护中国共产党的领导，遵纪守法。</w:t>
      </w:r>
    </w:p>
    <w:p w14:paraId="5CE37615">
      <w:pPr>
        <w:pStyle w:val="20"/>
        <w:shd w:val="clear" w:color="auto" w:fill="FFFFFF"/>
        <w:spacing w:before="0" w:beforeAutospacing="0" w:after="0" w:afterAutospacing="0" w:line="360" w:lineRule="auto"/>
        <w:ind w:firstLine="480" w:firstLineChars="200"/>
        <w:rPr>
          <w:rFonts w:cs="Arial"/>
          <w:color w:val="000000"/>
          <w:szCs w:val="21"/>
        </w:rPr>
      </w:pPr>
      <w:r>
        <w:rPr>
          <w:rFonts w:cs="Arial"/>
          <w:color w:val="000000"/>
          <w:szCs w:val="21"/>
        </w:rPr>
        <w:t>2．</w:t>
      </w:r>
      <w:r>
        <w:rPr>
          <w:rFonts w:hint="eastAsia"/>
        </w:rPr>
        <w:t>勤奋刻苦</w:t>
      </w:r>
      <w:r>
        <w:t>、成绩优良</w:t>
      </w:r>
      <w:r>
        <w:rPr>
          <w:rFonts w:hint="eastAsia"/>
        </w:rPr>
        <w:t>，参评学年综合成绩专业排名前30%。</w:t>
      </w:r>
    </w:p>
    <w:p w14:paraId="3AD61A7C">
      <w:pPr>
        <w:pStyle w:val="20"/>
        <w:shd w:val="clear" w:color="auto" w:fill="FFFFFF"/>
        <w:spacing w:before="0" w:beforeAutospacing="0" w:after="0" w:afterAutospacing="0" w:line="360" w:lineRule="auto"/>
        <w:ind w:firstLine="480" w:firstLineChars="200"/>
        <w:rPr>
          <w:rFonts w:cs="Arial"/>
          <w:color w:val="000000"/>
          <w:szCs w:val="21"/>
        </w:rPr>
      </w:pPr>
      <w:r>
        <w:rPr>
          <w:rFonts w:cs="Arial"/>
          <w:color w:val="000000"/>
          <w:szCs w:val="21"/>
        </w:rPr>
        <w:t>3．</w:t>
      </w:r>
      <w:r>
        <w:rPr>
          <w:rFonts w:hint="eastAsia" w:cs="Arial"/>
          <w:color w:val="000000"/>
          <w:szCs w:val="21"/>
        </w:rPr>
        <w:t>参评</w:t>
      </w:r>
      <w:r>
        <w:rPr>
          <w:rFonts w:cs="Arial"/>
          <w:color w:val="000000"/>
          <w:szCs w:val="21"/>
        </w:rPr>
        <w:t>学年参与科创竞赛</w:t>
      </w:r>
      <w:r>
        <w:rPr>
          <w:rFonts w:hint="eastAsia" w:cs="Arial"/>
          <w:color w:val="000000"/>
          <w:szCs w:val="21"/>
        </w:rPr>
        <w:t>并</w:t>
      </w:r>
      <w:r>
        <w:rPr>
          <w:rFonts w:cs="Arial"/>
          <w:color w:val="000000"/>
          <w:szCs w:val="21"/>
        </w:rPr>
        <w:t>获奖</w:t>
      </w:r>
      <w:r>
        <w:rPr>
          <w:rFonts w:hint="eastAsia" w:cs="Arial"/>
          <w:color w:val="000000"/>
          <w:szCs w:val="21"/>
        </w:rPr>
        <w:t>、</w:t>
      </w:r>
      <w:r>
        <w:rPr>
          <w:rFonts w:cs="Arial"/>
          <w:color w:val="000000"/>
          <w:szCs w:val="21"/>
        </w:rPr>
        <w:t>积极参与社会实践者</w:t>
      </w:r>
      <w:r>
        <w:rPr>
          <w:rFonts w:hint="eastAsia" w:cs="Arial"/>
          <w:color w:val="000000"/>
          <w:szCs w:val="21"/>
        </w:rPr>
        <w:t>、家庭经济困难者</w:t>
      </w:r>
      <w:r>
        <w:rPr>
          <w:rFonts w:cs="Arial"/>
          <w:color w:val="000000"/>
          <w:szCs w:val="21"/>
        </w:rPr>
        <w:t>优先</w:t>
      </w:r>
      <w:r>
        <w:rPr>
          <w:rFonts w:hint="eastAsia" w:cs="Arial"/>
          <w:color w:val="000000"/>
          <w:szCs w:val="21"/>
        </w:rPr>
        <w:t>考虑</w:t>
      </w:r>
      <w:r>
        <w:rPr>
          <w:rFonts w:cs="Arial"/>
          <w:color w:val="000000"/>
          <w:szCs w:val="21"/>
        </w:rPr>
        <w:t>。</w:t>
      </w:r>
    </w:p>
    <w:p w14:paraId="50F677F0">
      <w:pPr>
        <w:pStyle w:val="20"/>
        <w:shd w:val="clear" w:color="auto" w:fill="FFFFFF"/>
        <w:spacing w:before="0" w:beforeAutospacing="0" w:after="0" w:afterAutospacing="0" w:line="360" w:lineRule="auto"/>
        <w:ind w:firstLine="480" w:firstLineChars="200"/>
        <w:rPr>
          <w:rFonts w:cs="Arial"/>
          <w:color w:val="000000"/>
          <w:szCs w:val="21"/>
        </w:rPr>
      </w:pPr>
      <w:r>
        <w:rPr>
          <w:rFonts w:hint="eastAsia" w:cs="Arial"/>
          <w:color w:val="000000"/>
          <w:szCs w:val="21"/>
        </w:rPr>
        <w:t>五</w:t>
      </w:r>
      <w:r>
        <w:rPr>
          <w:rFonts w:cs="Arial"/>
          <w:color w:val="000000"/>
          <w:szCs w:val="21"/>
        </w:rPr>
        <w:t>、评奖办法</w:t>
      </w:r>
    </w:p>
    <w:p w14:paraId="79DB8DFE">
      <w:pPr>
        <w:spacing w:line="360" w:lineRule="auto"/>
        <w:ind w:firstLine="480" w:firstLineChars="200"/>
        <w:jc w:val="left"/>
        <w:rPr>
          <w:rFonts w:ascii="宋体" w:hAnsi="宋体" w:eastAsia="宋体" w:cs="Arial"/>
          <w:color w:val="000000"/>
          <w:sz w:val="24"/>
          <w:szCs w:val="21"/>
        </w:rPr>
      </w:pPr>
      <w:r>
        <w:rPr>
          <w:rFonts w:ascii="宋体" w:hAnsi="宋体" w:eastAsia="宋体" w:cs="Arial"/>
          <w:color w:val="000000"/>
          <w:sz w:val="24"/>
          <w:szCs w:val="21"/>
        </w:rPr>
        <w:t>1．申请及评奖程序按</w:t>
      </w:r>
      <w:r>
        <w:rPr>
          <w:rFonts w:hint="eastAsia" w:ascii="宋体" w:hAnsi="宋体" w:eastAsia="宋体" w:cs="Arial"/>
          <w:color w:val="000000"/>
          <w:sz w:val="24"/>
          <w:szCs w:val="21"/>
        </w:rPr>
        <w:t>《西南交通大学本科生奖助学金评审管理办法》</w:t>
      </w:r>
      <w:r>
        <w:rPr>
          <w:rFonts w:ascii="宋体" w:hAnsi="宋体" w:eastAsia="宋体" w:cs="Arial"/>
          <w:color w:val="000000"/>
          <w:sz w:val="24"/>
          <w:szCs w:val="21"/>
        </w:rPr>
        <w:t>执行。</w:t>
      </w:r>
    </w:p>
    <w:p w14:paraId="0439C5CA">
      <w:pPr>
        <w:pStyle w:val="20"/>
        <w:shd w:val="clear" w:color="auto" w:fill="FFFFFF"/>
        <w:spacing w:before="0" w:beforeAutospacing="0" w:after="0" w:afterAutospacing="0" w:line="360" w:lineRule="auto"/>
        <w:ind w:firstLine="480" w:firstLineChars="200"/>
        <w:rPr>
          <w:rFonts w:cs="Arial"/>
          <w:color w:val="000000"/>
          <w:szCs w:val="21"/>
        </w:rPr>
      </w:pPr>
      <w:r>
        <w:rPr>
          <w:rFonts w:cs="Arial"/>
          <w:color w:val="000000"/>
          <w:szCs w:val="21"/>
        </w:rPr>
        <w:t>2．本专项奖学金评审时，评审委员会中应有</w:t>
      </w:r>
      <w:r>
        <w:rPr>
          <w:rFonts w:hint="eastAsia" w:cs="Arial"/>
          <w:color w:val="000000"/>
          <w:szCs w:val="21"/>
        </w:rPr>
        <w:t>成都世言科技有限公司领导</w:t>
      </w:r>
      <w:r>
        <w:rPr>
          <w:rFonts w:cs="Arial"/>
          <w:color w:val="000000"/>
          <w:szCs w:val="21"/>
        </w:rPr>
        <w:t>参与评审。</w:t>
      </w:r>
    </w:p>
    <w:p w14:paraId="63ADF501">
      <w:pPr>
        <w:pStyle w:val="20"/>
        <w:shd w:val="clear" w:color="auto" w:fill="FFFFFF"/>
        <w:spacing w:before="0" w:beforeAutospacing="0" w:after="0" w:afterAutospacing="0" w:line="360" w:lineRule="auto"/>
        <w:ind w:firstLine="480" w:firstLineChars="200"/>
        <w:rPr>
          <w:rFonts w:cs="Arial"/>
          <w:color w:val="000000"/>
          <w:szCs w:val="21"/>
        </w:rPr>
      </w:pPr>
      <w:r>
        <w:rPr>
          <w:rFonts w:hint="eastAsia" w:cs="Arial"/>
          <w:color w:val="000000"/>
          <w:szCs w:val="21"/>
        </w:rPr>
        <w:t>六</w:t>
      </w:r>
      <w:r>
        <w:rPr>
          <w:rFonts w:cs="Arial"/>
          <w:color w:val="000000"/>
          <w:szCs w:val="21"/>
        </w:rPr>
        <w:t>、其他</w:t>
      </w:r>
    </w:p>
    <w:p w14:paraId="5889DE67">
      <w:pPr>
        <w:pStyle w:val="20"/>
        <w:shd w:val="clear" w:color="auto" w:fill="FFFFFF"/>
        <w:spacing w:before="0" w:beforeAutospacing="0" w:after="0" w:afterAutospacing="0" w:line="360" w:lineRule="auto"/>
        <w:ind w:firstLine="480" w:firstLineChars="200"/>
        <w:rPr>
          <w:rFonts w:cs="Arial"/>
          <w:color w:val="000000"/>
          <w:szCs w:val="21"/>
        </w:rPr>
      </w:pPr>
      <w:r>
        <w:rPr>
          <w:rFonts w:cs="Arial"/>
          <w:color w:val="000000"/>
          <w:szCs w:val="21"/>
        </w:rPr>
        <w:t>1．</w:t>
      </w:r>
      <w:r>
        <w:t>本办法自正式公布之日起施行。</w:t>
      </w:r>
    </w:p>
    <w:p w14:paraId="117E8C61">
      <w:pPr>
        <w:pStyle w:val="20"/>
        <w:shd w:val="clear" w:color="auto" w:fill="FFFFFF"/>
        <w:spacing w:before="0" w:beforeAutospacing="0" w:after="0" w:afterAutospacing="0" w:line="360" w:lineRule="auto"/>
        <w:ind w:firstLine="480" w:firstLineChars="200"/>
        <w:rPr>
          <w:rFonts w:cs="Arial"/>
          <w:color w:val="000000"/>
          <w:szCs w:val="21"/>
        </w:rPr>
      </w:pPr>
      <w:r>
        <w:rPr>
          <w:rFonts w:cs="Arial"/>
          <w:color w:val="000000"/>
          <w:szCs w:val="21"/>
        </w:rPr>
        <w:t>2．本办法由西南交通大学</w:t>
      </w:r>
      <w:r>
        <w:rPr>
          <w:rFonts w:hint="eastAsia" w:cs="Arial"/>
          <w:color w:val="000000"/>
          <w:szCs w:val="21"/>
        </w:rPr>
        <w:t>茅以升</w:t>
      </w:r>
      <w:r>
        <w:rPr>
          <w:rFonts w:cs="Arial"/>
          <w:color w:val="000000"/>
          <w:szCs w:val="21"/>
        </w:rPr>
        <w:t>学院负责解释。</w:t>
      </w:r>
    </w:p>
    <w:p w14:paraId="7E131A0A">
      <w:pPr>
        <w:pStyle w:val="20"/>
        <w:shd w:val="clear" w:color="auto" w:fill="FFFFFF"/>
        <w:spacing w:before="0" w:beforeAutospacing="0" w:after="0" w:afterAutospacing="0" w:line="360" w:lineRule="auto"/>
        <w:ind w:firstLine="480" w:firstLineChars="200"/>
        <w:rPr>
          <w:rFonts w:cs="Arial"/>
          <w:color w:val="000000"/>
          <w:szCs w:val="21"/>
        </w:rPr>
      </w:pPr>
    </w:p>
    <w:p w14:paraId="734CDB39">
      <w:pPr>
        <w:pStyle w:val="20"/>
        <w:shd w:val="clear" w:color="auto" w:fill="FFFFFF"/>
        <w:spacing w:before="0" w:beforeAutospacing="0" w:after="0" w:afterAutospacing="0" w:line="360" w:lineRule="auto"/>
        <w:ind w:firstLine="480" w:firstLineChars="200"/>
        <w:jc w:val="right"/>
        <w:rPr>
          <w:rFonts w:cs="Arial"/>
          <w:color w:val="000000"/>
          <w:szCs w:val="21"/>
        </w:rPr>
      </w:pPr>
      <w:r>
        <w:rPr>
          <w:rFonts w:cs="Arial"/>
          <w:color w:val="000000"/>
          <w:szCs w:val="21"/>
        </w:rPr>
        <w:t>西南交通大学</w:t>
      </w:r>
      <w:r>
        <w:rPr>
          <w:rFonts w:hint="eastAsia" w:cs="Arial"/>
          <w:color w:val="000000"/>
          <w:szCs w:val="21"/>
        </w:rPr>
        <w:t>茅以升</w:t>
      </w:r>
      <w:r>
        <w:rPr>
          <w:rFonts w:cs="Arial"/>
          <w:color w:val="000000"/>
          <w:szCs w:val="21"/>
        </w:rPr>
        <w:t>学院</w:t>
      </w:r>
    </w:p>
    <w:p w14:paraId="6781AC72">
      <w:pPr>
        <w:pStyle w:val="20"/>
        <w:shd w:val="clear" w:color="auto" w:fill="FFFFFF"/>
        <w:spacing w:before="0" w:beforeAutospacing="0" w:after="0" w:afterAutospacing="0" w:line="360" w:lineRule="auto"/>
        <w:ind w:firstLine="480" w:firstLineChars="200"/>
        <w:jc w:val="right"/>
        <w:rPr>
          <w:rFonts w:hint="eastAsia"/>
          <w:highlight w:val="none"/>
        </w:rPr>
        <w:sectPr>
          <w:pgSz w:w="11906" w:h="16838"/>
          <w:pgMar w:top="1440" w:right="1800" w:bottom="1440" w:left="1800" w:header="708" w:footer="708" w:gutter="0"/>
          <w:pgNumType w:fmt="decimal"/>
          <w:cols w:space="708" w:num="1"/>
          <w:docGrid w:linePitch="360" w:charSpace="0"/>
        </w:sectPr>
      </w:pPr>
      <w:r>
        <w:rPr>
          <w:rFonts w:cs="Arial"/>
          <w:color w:val="000000"/>
          <w:szCs w:val="21"/>
        </w:rPr>
        <w:t>2025年2月</w:t>
      </w:r>
    </w:p>
    <w:p w14:paraId="386331E0">
      <w:pPr>
        <w:ind w:left="0" w:leftChars="0" w:firstLine="0" w:firstLineChars="0"/>
        <w:rPr>
          <w:rFonts w:hint="eastAsia"/>
          <w:highlight w:val="none"/>
        </w:rPr>
      </w:pPr>
    </w:p>
    <w:p w14:paraId="6A80B862">
      <w:pPr>
        <w:pStyle w:val="2"/>
        <w:spacing w:after="156"/>
        <w:ind w:firstLine="640"/>
        <w:rPr>
          <w:highlight w:val="none"/>
        </w:rPr>
      </w:pPr>
      <w:bookmarkStart w:id="5" w:name="_Toc10612"/>
      <w:bookmarkStart w:id="6" w:name="_Toc12160"/>
      <w:r>
        <w:rPr>
          <w:rFonts w:hint="eastAsia"/>
          <w:highlight w:val="none"/>
        </w:rPr>
        <w:t>中国港湾奖（助）学金评选管理办法</w:t>
      </w:r>
      <w:bookmarkEnd w:id="5"/>
      <w:bookmarkEnd w:id="6"/>
    </w:p>
    <w:p w14:paraId="2236F5A5">
      <w:pPr>
        <w:ind w:firstLine="480"/>
        <w:rPr>
          <w:highlight w:val="none"/>
        </w:rPr>
      </w:pPr>
      <w:r>
        <w:rPr>
          <w:rFonts w:hint="eastAsia"/>
          <w:highlight w:val="none"/>
        </w:rPr>
        <w:t>为奖励品学兼优的学生和帮助贫困家庭的学生顺利完成学业，激励他们勤奋学习，努力进取，立志成才，报效祖国，经中国港湾工程有限责任公司（以下简称：中国港湾公司）与</w:t>
      </w:r>
      <w:r>
        <w:rPr>
          <w:rFonts w:hint="eastAsia"/>
          <w:b/>
          <w:highlight w:val="none"/>
        </w:rPr>
        <w:t>西南交通大学</w:t>
      </w:r>
      <w:r>
        <w:rPr>
          <w:rFonts w:hint="eastAsia"/>
          <w:highlight w:val="none"/>
        </w:rPr>
        <w:t>协商，决定在</w:t>
      </w:r>
      <w:r>
        <w:rPr>
          <w:rFonts w:hint="eastAsia"/>
          <w:b/>
          <w:highlight w:val="none"/>
        </w:rPr>
        <w:t>西南交通大学土木工程学院（以下简称：学院）</w:t>
      </w:r>
      <w:r>
        <w:rPr>
          <w:rFonts w:hint="eastAsia"/>
          <w:highlight w:val="none"/>
        </w:rPr>
        <w:t>设立“中国港湾奖学金”和“中国港湾助学金”。</w:t>
      </w:r>
    </w:p>
    <w:p w14:paraId="7BF576BB">
      <w:pPr>
        <w:ind w:firstLine="0" w:firstLineChars="0"/>
        <w:rPr>
          <w:rFonts w:ascii="黑体" w:hAnsi="黑体" w:eastAsia="黑体"/>
          <w:b/>
          <w:szCs w:val="24"/>
          <w:highlight w:val="none"/>
        </w:rPr>
      </w:pPr>
      <w:r>
        <w:rPr>
          <w:rFonts w:hint="eastAsia" w:ascii="黑体" w:hAnsi="黑体" w:eastAsia="黑体"/>
          <w:b/>
          <w:szCs w:val="24"/>
          <w:highlight w:val="none"/>
        </w:rPr>
        <w:t>一、奖（助）学金名称</w:t>
      </w:r>
    </w:p>
    <w:p w14:paraId="689BDDCB">
      <w:pPr>
        <w:ind w:firstLine="480"/>
        <w:rPr>
          <w:highlight w:val="none"/>
        </w:rPr>
      </w:pPr>
      <w:r>
        <w:rPr>
          <w:rFonts w:hint="eastAsia"/>
          <w:highlight w:val="none"/>
        </w:rPr>
        <w:t>设立的奖（助）学金名称为：中国港湾奖学金和中国港湾助学金。</w:t>
      </w:r>
    </w:p>
    <w:p w14:paraId="32038F99">
      <w:pPr>
        <w:ind w:firstLine="0" w:firstLineChars="0"/>
        <w:rPr>
          <w:rFonts w:ascii="黑体" w:hAnsi="黑体" w:eastAsia="黑体"/>
          <w:b/>
          <w:szCs w:val="24"/>
          <w:highlight w:val="none"/>
        </w:rPr>
      </w:pPr>
      <w:r>
        <w:rPr>
          <w:rFonts w:hint="eastAsia" w:ascii="黑体" w:hAnsi="黑体" w:eastAsia="黑体"/>
          <w:b/>
          <w:szCs w:val="24"/>
          <w:highlight w:val="none"/>
        </w:rPr>
        <w:t>二、奖学金奖励对象及标准</w:t>
      </w:r>
    </w:p>
    <w:p w14:paraId="73D6B5B9">
      <w:pPr>
        <w:ind w:firstLine="480"/>
        <w:rPr>
          <w:highlight w:val="none"/>
        </w:rPr>
      </w:pPr>
      <w:r>
        <w:rPr>
          <w:rFonts w:hint="eastAsia"/>
          <w:highlight w:val="none"/>
        </w:rPr>
        <w:t>研究生：一等奖学金1人，每人</w:t>
      </w:r>
      <w:r>
        <w:rPr>
          <w:highlight w:val="none"/>
        </w:rPr>
        <w:t>6</w:t>
      </w:r>
      <w:r>
        <w:rPr>
          <w:rFonts w:hint="eastAsia"/>
          <w:highlight w:val="none"/>
        </w:rPr>
        <w:t>000元；</w:t>
      </w:r>
    </w:p>
    <w:p w14:paraId="13859A71">
      <w:pPr>
        <w:ind w:firstLine="0" w:firstLineChars="0"/>
        <w:rPr>
          <w:rFonts w:ascii="黑体" w:hAnsi="黑体" w:eastAsia="黑体"/>
          <w:b/>
          <w:szCs w:val="24"/>
          <w:highlight w:val="none"/>
        </w:rPr>
      </w:pPr>
      <w:r>
        <w:rPr>
          <w:rFonts w:hint="eastAsia" w:ascii="黑体" w:hAnsi="黑体" w:eastAsia="黑体"/>
          <w:b/>
          <w:szCs w:val="24"/>
          <w:highlight w:val="none"/>
        </w:rPr>
        <w:t>三、助学金资助对象及标准</w:t>
      </w:r>
    </w:p>
    <w:p w14:paraId="6E22F2A8">
      <w:pPr>
        <w:ind w:firstLine="480"/>
        <w:rPr>
          <w:highlight w:val="none"/>
        </w:rPr>
      </w:pPr>
      <w:r>
        <w:rPr>
          <w:rFonts w:hint="eastAsia"/>
          <w:highlight w:val="none"/>
        </w:rPr>
        <w:t>本科生</w:t>
      </w:r>
      <w:r>
        <w:rPr>
          <w:rFonts w:hint="eastAsia"/>
          <w:highlight w:val="none"/>
          <w:lang w:val="en-US" w:eastAsia="zh-CN"/>
        </w:rPr>
        <w:t>2</w:t>
      </w:r>
      <w:r>
        <w:rPr>
          <w:rFonts w:hint="eastAsia"/>
          <w:highlight w:val="none"/>
        </w:rPr>
        <w:t>人，每人3000元。</w:t>
      </w:r>
    </w:p>
    <w:p w14:paraId="2028B7A0">
      <w:pPr>
        <w:ind w:firstLine="0" w:firstLineChars="0"/>
        <w:rPr>
          <w:rFonts w:ascii="黑体" w:hAnsi="黑体" w:eastAsia="黑体"/>
          <w:b/>
          <w:szCs w:val="24"/>
          <w:highlight w:val="none"/>
        </w:rPr>
      </w:pPr>
      <w:r>
        <w:rPr>
          <w:rFonts w:hint="eastAsia" w:ascii="黑体" w:hAnsi="黑体" w:eastAsia="黑体"/>
          <w:b/>
          <w:szCs w:val="24"/>
          <w:highlight w:val="none"/>
        </w:rPr>
        <w:t>四、申请奖（助）学金的基本条件</w:t>
      </w:r>
    </w:p>
    <w:p w14:paraId="1FA14D81">
      <w:pPr>
        <w:ind w:firstLine="480"/>
        <w:rPr>
          <w:highlight w:val="none"/>
        </w:rPr>
      </w:pPr>
      <w:r>
        <w:rPr>
          <w:rFonts w:hint="eastAsia"/>
          <w:highlight w:val="none"/>
        </w:rPr>
        <w:t>1.热爱社会主义祖国，拥护中国共产党，有正确坚定的政治信念，有为建设社会主义现代化强国而奋斗的理想。</w:t>
      </w:r>
    </w:p>
    <w:p w14:paraId="1BA26FC8">
      <w:pPr>
        <w:ind w:firstLine="480"/>
        <w:rPr>
          <w:highlight w:val="none"/>
        </w:rPr>
      </w:pPr>
      <w:r>
        <w:rPr>
          <w:rFonts w:hint="eastAsia"/>
          <w:highlight w:val="none"/>
        </w:rPr>
        <w:t>2.综合素质良好，在德、智、体方面全面发展。</w:t>
      </w:r>
    </w:p>
    <w:p w14:paraId="533230EC">
      <w:pPr>
        <w:ind w:firstLine="480"/>
        <w:rPr>
          <w:highlight w:val="none"/>
        </w:rPr>
      </w:pPr>
      <w:r>
        <w:rPr>
          <w:rFonts w:hint="eastAsia"/>
          <w:highlight w:val="none"/>
        </w:rPr>
        <w:t>3.热爱所学专业，学习勤奋刻苦，学习成绩优秀，符合学校专</w:t>
      </w:r>
    </w:p>
    <w:p w14:paraId="2BD6C83F">
      <w:pPr>
        <w:ind w:firstLine="480"/>
        <w:rPr>
          <w:highlight w:val="none"/>
        </w:rPr>
      </w:pPr>
      <w:r>
        <w:rPr>
          <w:rFonts w:hint="eastAsia"/>
          <w:highlight w:val="none"/>
        </w:rPr>
        <w:t>项奖学金申请的各项条件。</w:t>
      </w:r>
    </w:p>
    <w:p w14:paraId="070AFF38">
      <w:pPr>
        <w:ind w:firstLine="480"/>
        <w:rPr>
          <w:highlight w:val="none"/>
        </w:rPr>
      </w:pPr>
      <w:r>
        <w:rPr>
          <w:rFonts w:hint="eastAsia"/>
          <w:highlight w:val="none"/>
        </w:rPr>
        <w:t>4.积极参加学校和学部组织的集体活动及有益的社会工作。</w:t>
      </w:r>
    </w:p>
    <w:p w14:paraId="29011777">
      <w:pPr>
        <w:ind w:firstLine="480"/>
        <w:rPr>
          <w:highlight w:val="none"/>
        </w:rPr>
      </w:pPr>
      <w:r>
        <w:rPr>
          <w:highlight w:val="none"/>
        </w:rPr>
        <w:t>5.助学金的申请符合学校家庭经济困难生条件。</w:t>
      </w:r>
    </w:p>
    <w:p w14:paraId="0348A240">
      <w:pPr>
        <w:ind w:firstLine="0" w:firstLineChars="0"/>
        <w:rPr>
          <w:rFonts w:ascii="黑体" w:hAnsi="黑体" w:eastAsia="黑体"/>
          <w:b/>
          <w:szCs w:val="24"/>
          <w:highlight w:val="none"/>
        </w:rPr>
      </w:pPr>
      <w:r>
        <w:rPr>
          <w:rFonts w:hint="eastAsia" w:ascii="黑体" w:hAnsi="黑体" w:eastAsia="黑体"/>
          <w:b/>
          <w:szCs w:val="24"/>
          <w:highlight w:val="none"/>
        </w:rPr>
        <w:t>五、评选办法和评选程序</w:t>
      </w:r>
    </w:p>
    <w:p w14:paraId="7768034D">
      <w:pPr>
        <w:ind w:firstLine="480"/>
        <w:rPr>
          <w:highlight w:val="none"/>
        </w:rPr>
      </w:pPr>
      <w:r>
        <w:rPr>
          <w:rFonts w:hint="eastAsia"/>
          <w:highlight w:val="none"/>
        </w:rPr>
        <w:t>按照学院奖学金和助学金评选的有关规定执行。</w:t>
      </w:r>
    </w:p>
    <w:p w14:paraId="01CBB0EF">
      <w:pPr>
        <w:ind w:firstLine="480"/>
        <w:rPr>
          <w:highlight w:val="none"/>
        </w:rPr>
      </w:pPr>
    </w:p>
    <w:p w14:paraId="00F33918">
      <w:pPr>
        <w:ind w:firstLine="480"/>
        <w:rPr>
          <w:highlight w:val="none"/>
        </w:rPr>
      </w:pPr>
    </w:p>
    <w:p w14:paraId="55220955">
      <w:pPr>
        <w:ind w:firstLine="480"/>
        <w:rPr>
          <w:highlight w:val="none"/>
        </w:rPr>
      </w:pPr>
    </w:p>
    <w:p w14:paraId="1220BF9F">
      <w:pPr>
        <w:ind w:firstLine="480"/>
        <w:rPr>
          <w:highlight w:val="none"/>
        </w:rPr>
      </w:pPr>
    </w:p>
    <w:p w14:paraId="20113452">
      <w:pPr>
        <w:ind w:firstLine="480"/>
        <w:rPr>
          <w:highlight w:val="none"/>
        </w:rPr>
      </w:pPr>
    </w:p>
    <w:p w14:paraId="0F161AE0">
      <w:pPr>
        <w:ind w:firstLine="480"/>
        <w:rPr>
          <w:highlight w:val="none"/>
        </w:rPr>
      </w:pPr>
    </w:p>
    <w:p w14:paraId="300910A7">
      <w:pPr>
        <w:pStyle w:val="2"/>
        <w:spacing w:after="156"/>
        <w:ind w:firstLine="640"/>
        <w:rPr>
          <w:rFonts w:hint="eastAsia"/>
          <w:highlight w:val="none"/>
        </w:rPr>
      </w:pPr>
      <w:bookmarkStart w:id="7" w:name="_Toc13061"/>
      <w:bookmarkStart w:id="8" w:name="_Toc2707"/>
      <w:r>
        <w:rPr>
          <w:rFonts w:hint="eastAsia"/>
          <w:highlight w:val="none"/>
        </w:rPr>
        <w:t>西南交通大学“土木九八级二班奖学金”评选办法</w:t>
      </w:r>
      <w:bookmarkEnd w:id="7"/>
      <w:bookmarkEnd w:id="8"/>
    </w:p>
    <w:p w14:paraId="415A4BCA">
      <w:pPr>
        <w:tabs>
          <w:tab w:val="left" w:pos="615"/>
        </w:tabs>
        <w:spacing w:line="360" w:lineRule="auto"/>
        <w:ind w:firstLine="480" w:firstLineChars="200"/>
        <w:rPr>
          <w:rFonts w:hint="eastAsia" w:ascii="宋体" w:hAnsi="宋体"/>
          <w:sz w:val="24"/>
          <w:szCs w:val="24"/>
        </w:rPr>
      </w:pPr>
      <w:r>
        <w:rPr>
          <w:rFonts w:hint="eastAsia" w:ascii="宋体" w:hAnsi="宋体"/>
          <w:sz w:val="24"/>
          <w:szCs w:val="24"/>
        </w:rPr>
        <w:t>西南交通大学土木九八级二班奖学金由西南交通大学土木九八级二班同学会捐资设立，旨在激励在校大学学生勤奋学习，努力进取，立志成才，报效祖国。</w:t>
      </w:r>
    </w:p>
    <w:p w14:paraId="1A6E3C2B">
      <w:pPr>
        <w:spacing w:before="156" w:beforeLines="50" w:after="156" w:afterLines="50" w:line="360" w:lineRule="auto"/>
        <w:rPr>
          <w:rFonts w:hint="eastAsia" w:ascii="宋体" w:hAnsi="宋体" w:cs="宋体"/>
          <w:b/>
          <w:bCs/>
          <w:sz w:val="24"/>
          <w:szCs w:val="24"/>
        </w:rPr>
      </w:pPr>
      <w:r>
        <w:rPr>
          <w:rFonts w:hint="eastAsia" w:ascii="宋体" w:hAnsi="宋体" w:cs="宋体"/>
          <w:b/>
          <w:bCs/>
          <w:sz w:val="24"/>
          <w:szCs w:val="24"/>
        </w:rPr>
        <w:t>一、评奖范围</w:t>
      </w:r>
    </w:p>
    <w:p w14:paraId="5DBB3FA3">
      <w:pPr>
        <w:spacing w:line="360" w:lineRule="auto"/>
        <w:ind w:firstLine="480" w:firstLineChars="200"/>
        <w:rPr>
          <w:rFonts w:hint="eastAsia" w:ascii="宋体" w:hAnsi="宋体" w:cs="宋体"/>
          <w:sz w:val="24"/>
          <w:szCs w:val="24"/>
        </w:rPr>
      </w:pPr>
      <w:r>
        <w:rPr>
          <w:rFonts w:hint="eastAsia" w:ascii="宋体" w:hAnsi="宋体" w:cs="宋体"/>
          <w:sz w:val="24"/>
          <w:szCs w:val="24"/>
        </w:rPr>
        <w:t>西南交通大学土木工程学院本科专业全日制本科生。</w:t>
      </w:r>
    </w:p>
    <w:p w14:paraId="2C8EB43C">
      <w:pPr>
        <w:spacing w:before="156" w:beforeLines="50" w:after="156" w:afterLines="50" w:line="360" w:lineRule="auto"/>
        <w:ind w:firstLine="482" w:firstLineChars="200"/>
        <w:rPr>
          <w:rFonts w:hint="eastAsia" w:ascii="宋体" w:hAnsi="宋体" w:cs="宋体"/>
          <w:b/>
          <w:bCs/>
          <w:sz w:val="24"/>
          <w:szCs w:val="24"/>
        </w:rPr>
      </w:pPr>
      <w:r>
        <w:rPr>
          <w:rFonts w:hint="eastAsia" w:ascii="宋体" w:hAnsi="宋体" w:cs="宋体"/>
          <w:b/>
          <w:bCs/>
          <w:sz w:val="24"/>
          <w:szCs w:val="24"/>
        </w:rPr>
        <w:t>二、奖励人数及金额</w:t>
      </w:r>
    </w:p>
    <w:p w14:paraId="2F5E2219">
      <w:pPr>
        <w:spacing w:before="156" w:beforeLines="50" w:after="156" w:afterLines="50" w:line="360" w:lineRule="auto"/>
        <w:ind w:firstLine="480" w:firstLineChars="200"/>
        <w:rPr>
          <w:rFonts w:hint="eastAsia" w:ascii="宋体" w:hAnsi="宋体" w:cs="宋体"/>
          <w:sz w:val="24"/>
          <w:szCs w:val="24"/>
        </w:rPr>
      </w:pPr>
      <w:r>
        <w:rPr>
          <w:rFonts w:hint="eastAsia" w:ascii="宋体" w:hAnsi="宋体" w:cs="宋体"/>
          <w:sz w:val="24"/>
          <w:szCs w:val="24"/>
        </w:rPr>
        <w:t>每年资助6人，分为三等。</w:t>
      </w:r>
    </w:p>
    <w:p w14:paraId="58E40CAC">
      <w:pPr>
        <w:spacing w:line="360" w:lineRule="auto"/>
        <w:ind w:firstLine="480" w:firstLineChars="200"/>
        <w:rPr>
          <w:rFonts w:hint="eastAsia" w:ascii="宋体" w:hAnsi="宋体" w:cs="宋体"/>
          <w:sz w:val="24"/>
          <w:szCs w:val="24"/>
        </w:rPr>
      </w:pPr>
      <w:r>
        <w:rPr>
          <w:rFonts w:hint="eastAsia" w:ascii="宋体" w:hAnsi="宋体" w:cs="宋体"/>
          <w:sz w:val="24"/>
          <w:szCs w:val="24"/>
        </w:rPr>
        <w:t>1、一等奖共1名，每人</w:t>
      </w:r>
      <w:r>
        <w:rPr>
          <w:rFonts w:hint="eastAsia" w:ascii="宋体" w:hAnsi="宋体" w:cs="宋体"/>
          <w:sz w:val="24"/>
          <w:szCs w:val="24"/>
          <w:lang w:val="en-US" w:eastAsia="zh-CN"/>
        </w:rPr>
        <w:t>6000</w:t>
      </w:r>
      <w:r>
        <w:rPr>
          <w:rFonts w:hint="eastAsia" w:ascii="宋体" w:hAnsi="宋体" w:cs="宋体"/>
          <w:sz w:val="24"/>
          <w:szCs w:val="24"/>
        </w:rPr>
        <w:t>元/年；</w:t>
      </w:r>
    </w:p>
    <w:p w14:paraId="7C8011D7">
      <w:pPr>
        <w:spacing w:line="360" w:lineRule="auto"/>
        <w:ind w:firstLine="480" w:firstLineChars="200"/>
        <w:rPr>
          <w:rFonts w:hint="eastAsia" w:ascii="宋体" w:hAnsi="宋体" w:cs="宋体"/>
          <w:sz w:val="24"/>
          <w:szCs w:val="24"/>
        </w:rPr>
      </w:pPr>
      <w:r>
        <w:rPr>
          <w:rFonts w:hint="eastAsia" w:ascii="宋体" w:hAnsi="宋体" w:cs="宋体"/>
          <w:sz w:val="24"/>
          <w:szCs w:val="24"/>
        </w:rPr>
        <w:t>2、二等奖共2名，每人</w:t>
      </w:r>
      <w:r>
        <w:rPr>
          <w:rFonts w:hint="eastAsia" w:ascii="宋体" w:hAnsi="宋体" w:cs="宋体"/>
          <w:sz w:val="24"/>
          <w:szCs w:val="24"/>
          <w:lang w:val="en-US" w:eastAsia="zh-CN"/>
        </w:rPr>
        <w:t>4000</w:t>
      </w:r>
      <w:r>
        <w:rPr>
          <w:rFonts w:hint="eastAsia" w:ascii="宋体" w:hAnsi="宋体" w:cs="宋体"/>
          <w:sz w:val="24"/>
          <w:szCs w:val="24"/>
        </w:rPr>
        <w:t>元/年；</w:t>
      </w:r>
    </w:p>
    <w:p w14:paraId="60D907C4">
      <w:pPr>
        <w:spacing w:line="360" w:lineRule="auto"/>
        <w:ind w:firstLine="480" w:firstLineChars="200"/>
        <w:rPr>
          <w:rFonts w:hint="eastAsia" w:ascii="宋体" w:hAnsi="宋体" w:cs="宋体"/>
          <w:sz w:val="24"/>
          <w:szCs w:val="24"/>
        </w:rPr>
      </w:pPr>
      <w:r>
        <w:rPr>
          <w:rFonts w:hint="eastAsia" w:ascii="宋体" w:hAnsi="宋体" w:cs="宋体"/>
          <w:sz w:val="24"/>
          <w:szCs w:val="24"/>
        </w:rPr>
        <w:t>3、三等奖共3名，每人</w:t>
      </w:r>
      <w:r>
        <w:rPr>
          <w:rFonts w:hint="eastAsia" w:ascii="宋体" w:hAnsi="宋体" w:cs="宋体"/>
          <w:sz w:val="24"/>
          <w:szCs w:val="24"/>
          <w:lang w:val="en-US" w:eastAsia="zh-CN"/>
        </w:rPr>
        <w:t>2</w:t>
      </w:r>
      <w:r>
        <w:rPr>
          <w:rFonts w:hint="eastAsia" w:ascii="宋体" w:hAnsi="宋体" w:cs="宋体"/>
          <w:sz w:val="24"/>
          <w:szCs w:val="24"/>
        </w:rPr>
        <w:t>000元/年；</w:t>
      </w:r>
    </w:p>
    <w:p w14:paraId="51D62E11">
      <w:pPr>
        <w:spacing w:before="156" w:beforeLines="50" w:after="156" w:afterLines="50" w:line="360" w:lineRule="auto"/>
        <w:ind w:firstLine="482" w:firstLineChars="200"/>
        <w:rPr>
          <w:rFonts w:hint="eastAsia" w:ascii="宋体" w:hAnsi="宋体" w:cs="宋体"/>
          <w:b/>
          <w:bCs/>
          <w:sz w:val="24"/>
          <w:szCs w:val="24"/>
        </w:rPr>
      </w:pPr>
      <w:r>
        <w:rPr>
          <w:rFonts w:hint="eastAsia" w:ascii="宋体" w:hAnsi="宋体" w:cs="宋体"/>
          <w:b/>
          <w:bCs/>
          <w:sz w:val="24"/>
          <w:szCs w:val="24"/>
        </w:rPr>
        <w:t>三、评选条件</w:t>
      </w:r>
    </w:p>
    <w:p w14:paraId="22F41044">
      <w:pPr>
        <w:spacing w:line="360" w:lineRule="auto"/>
        <w:ind w:firstLine="480" w:firstLineChars="200"/>
        <w:rPr>
          <w:rFonts w:hint="eastAsia" w:ascii="宋体" w:hAnsi="宋体" w:cs="宋体"/>
          <w:sz w:val="24"/>
          <w:szCs w:val="24"/>
        </w:rPr>
      </w:pPr>
      <w:r>
        <w:rPr>
          <w:rFonts w:hint="eastAsia" w:ascii="宋体" w:hAnsi="宋体" w:cs="宋体"/>
          <w:sz w:val="24"/>
          <w:szCs w:val="24"/>
        </w:rPr>
        <w:t>1、品德良好、积极向上、成绩优秀、家庭条件贫困（</w:t>
      </w:r>
      <w:r>
        <w:rPr>
          <w:rFonts w:hint="eastAsia" w:ascii="宋体" w:hAnsi="宋体" w:cs="宋体"/>
          <w:sz w:val="24"/>
          <w:szCs w:val="24"/>
          <w:lang w:val="en-US" w:eastAsia="zh-CN"/>
        </w:rPr>
        <w:t>参评学年内通过家庭经济困难认定</w:t>
      </w:r>
      <w:r>
        <w:rPr>
          <w:rFonts w:hint="eastAsia" w:ascii="宋体" w:hAnsi="宋体" w:cs="宋体"/>
          <w:sz w:val="24"/>
          <w:szCs w:val="24"/>
        </w:rPr>
        <w:t>）；</w:t>
      </w:r>
    </w:p>
    <w:p w14:paraId="180DCE62">
      <w:pPr>
        <w:spacing w:line="360" w:lineRule="auto"/>
        <w:ind w:firstLine="480" w:firstLineChars="200"/>
        <w:rPr>
          <w:rFonts w:hint="eastAsia" w:ascii="宋体" w:hAnsi="宋体" w:cs="宋体"/>
          <w:sz w:val="24"/>
          <w:szCs w:val="24"/>
        </w:rPr>
      </w:pPr>
      <w:r>
        <w:rPr>
          <w:rFonts w:hint="eastAsia" w:ascii="宋体" w:hAnsi="宋体" w:cs="宋体"/>
          <w:sz w:val="24"/>
          <w:szCs w:val="24"/>
        </w:rPr>
        <w:t>2、勤奋学习，各科学习成绩优良（无挂科、重修记录）；</w:t>
      </w:r>
    </w:p>
    <w:p w14:paraId="132B8B80">
      <w:pPr>
        <w:spacing w:line="360" w:lineRule="auto"/>
        <w:ind w:firstLine="480" w:firstLineChars="200"/>
        <w:rPr>
          <w:rFonts w:hint="eastAsia" w:ascii="宋体" w:hAnsi="宋体" w:cs="宋体"/>
          <w:sz w:val="24"/>
          <w:szCs w:val="24"/>
        </w:rPr>
      </w:pPr>
      <w:r>
        <w:rPr>
          <w:rFonts w:hint="eastAsia" w:ascii="宋体" w:hAnsi="宋体" w:cs="宋体"/>
          <w:sz w:val="24"/>
          <w:szCs w:val="24"/>
        </w:rPr>
        <w:t>3、积极参加社会、学校公益活动和文体活动；</w:t>
      </w:r>
    </w:p>
    <w:p w14:paraId="17309CBD">
      <w:pPr>
        <w:spacing w:line="360" w:lineRule="auto"/>
        <w:ind w:firstLine="480" w:firstLineChars="200"/>
        <w:rPr>
          <w:rFonts w:hint="eastAsia" w:ascii="宋体" w:hAnsi="宋体" w:cs="宋体"/>
          <w:sz w:val="24"/>
          <w:szCs w:val="24"/>
        </w:rPr>
      </w:pPr>
      <w:r>
        <w:rPr>
          <w:rFonts w:hint="eastAsia" w:ascii="宋体" w:hAnsi="宋体" w:cs="宋体"/>
          <w:sz w:val="24"/>
          <w:szCs w:val="24"/>
        </w:rPr>
        <w:t>4、奖学金申请人学习成绩或综合测评应在土木学院位于年级前</w:t>
      </w:r>
      <w:r>
        <w:rPr>
          <w:rFonts w:hint="eastAsia" w:ascii="宋体" w:hAnsi="宋体" w:cs="宋体"/>
          <w:sz w:val="24"/>
          <w:szCs w:val="24"/>
          <w:lang w:val="en-US" w:eastAsia="zh-CN"/>
        </w:rPr>
        <w:t>25%</w:t>
      </w:r>
      <w:r>
        <w:rPr>
          <w:rFonts w:hint="eastAsia" w:ascii="宋体" w:hAnsi="宋体" w:cs="宋体"/>
          <w:sz w:val="24"/>
          <w:szCs w:val="24"/>
        </w:rPr>
        <w:t>。</w:t>
      </w:r>
    </w:p>
    <w:p w14:paraId="06A1082F">
      <w:pPr>
        <w:spacing w:before="156" w:beforeLines="50" w:after="156" w:afterLines="50" w:line="360" w:lineRule="auto"/>
        <w:ind w:firstLine="482" w:firstLineChars="200"/>
        <w:rPr>
          <w:rFonts w:hint="eastAsia" w:ascii="宋体" w:hAnsi="宋体" w:cs="宋体"/>
          <w:b/>
          <w:bCs/>
          <w:sz w:val="24"/>
          <w:szCs w:val="24"/>
        </w:rPr>
      </w:pPr>
      <w:r>
        <w:rPr>
          <w:rFonts w:hint="eastAsia" w:ascii="宋体" w:hAnsi="宋体" w:cs="宋体"/>
          <w:b/>
          <w:bCs/>
          <w:sz w:val="24"/>
          <w:szCs w:val="24"/>
        </w:rPr>
        <w:t>四、评选程序</w:t>
      </w:r>
    </w:p>
    <w:p w14:paraId="2AFBE31A">
      <w:pPr>
        <w:spacing w:line="360" w:lineRule="auto"/>
        <w:ind w:firstLine="480" w:firstLineChars="200"/>
        <w:rPr>
          <w:rFonts w:hint="eastAsia" w:ascii="宋体" w:hAnsi="宋体" w:cs="宋体"/>
          <w:sz w:val="24"/>
          <w:szCs w:val="24"/>
        </w:rPr>
      </w:pPr>
      <w:r>
        <w:rPr>
          <w:rFonts w:hint="eastAsia" w:ascii="宋体" w:hAnsi="宋体" w:cs="宋体"/>
          <w:sz w:val="24"/>
          <w:szCs w:val="24"/>
        </w:rPr>
        <w:t>1、学生本人自主申请，向土木工程学院学生工作组提交申请；</w:t>
      </w:r>
    </w:p>
    <w:p w14:paraId="20AFC149">
      <w:pPr>
        <w:spacing w:line="360" w:lineRule="auto"/>
        <w:ind w:firstLine="480" w:firstLineChars="200"/>
        <w:rPr>
          <w:rFonts w:hint="eastAsia" w:ascii="宋体" w:hAnsi="宋体" w:cs="宋体"/>
          <w:sz w:val="24"/>
          <w:szCs w:val="24"/>
        </w:rPr>
      </w:pPr>
      <w:r>
        <w:rPr>
          <w:rFonts w:hint="eastAsia" w:ascii="宋体" w:hAnsi="宋体" w:cs="宋体"/>
          <w:sz w:val="24"/>
          <w:szCs w:val="24"/>
        </w:rPr>
        <w:t>2、土木工程学院学生工作组初审，按照</w:t>
      </w:r>
      <w:r>
        <w:rPr>
          <w:rFonts w:hint="eastAsia" w:ascii="宋体" w:hAnsi="宋体" w:cs="宋体"/>
          <w:color w:val="auto"/>
          <w:sz w:val="24"/>
          <w:szCs w:val="24"/>
        </w:rPr>
        <w:t>130%</w:t>
      </w:r>
      <w:r>
        <w:rPr>
          <w:rFonts w:hint="eastAsia" w:ascii="宋体" w:hAnsi="宋体" w:cs="宋体"/>
          <w:sz w:val="24"/>
          <w:szCs w:val="24"/>
        </w:rPr>
        <w:t>名额比例拟定推选名单；</w:t>
      </w:r>
    </w:p>
    <w:p w14:paraId="0EAFA8D0">
      <w:pPr>
        <w:spacing w:line="360" w:lineRule="auto"/>
        <w:ind w:firstLine="480" w:firstLineChars="200"/>
        <w:rPr>
          <w:rFonts w:hint="eastAsia" w:ascii="宋体" w:hAnsi="宋体" w:cs="宋体"/>
          <w:sz w:val="24"/>
          <w:szCs w:val="24"/>
        </w:rPr>
      </w:pPr>
      <w:r>
        <w:rPr>
          <w:rFonts w:hint="eastAsia" w:ascii="宋体" w:hAnsi="宋体" w:cs="宋体"/>
          <w:sz w:val="24"/>
          <w:szCs w:val="24"/>
        </w:rPr>
        <w:t>3、 由</w:t>
      </w:r>
      <w:r>
        <w:rPr>
          <w:rFonts w:hint="eastAsia" w:ascii="宋体" w:hAnsi="宋体"/>
          <w:sz w:val="24"/>
          <w:szCs w:val="24"/>
        </w:rPr>
        <w:t>西南交通大学土木九八级二班同学会</w:t>
      </w:r>
      <w:r>
        <w:rPr>
          <w:rFonts w:hint="eastAsia" w:ascii="宋体" w:hAnsi="宋体" w:cs="宋体"/>
          <w:sz w:val="24"/>
          <w:szCs w:val="24"/>
        </w:rPr>
        <w:t>代表蒋雅君进行遴选并确定最终候选人。</w:t>
      </w:r>
    </w:p>
    <w:p w14:paraId="1AE639B5">
      <w:pPr>
        <w:spacing w:line="360" w:lineRule="auto"/>
        <w:ind w:firstLine="480" w:firstLineChars="200"/>
        <w:rPr>
          <w:rFonts w:hint="eastAsia" w:ascii="宋体" w:hAnsi="宋体" w:cs="宋体"/>
          <w:sz w:val="24"/>
          <w:szCs w:val="24"/>
        </w:rPr>
      </w:pPr>
    </w:p>
    <w:p w14:paraId="4A963B0E">
      <w:pPr>
        <w:rPr>
          <w:highlight w:val="none"/>
        </w:rPr>
      </w:pPr>
      <w:r>
        <w:rPr>
          <w:highlight w:val="none"/>
        </w:rPr>
        <w:br w:type="page"/>
      </w:r>
    </w:p>
    <w:p w14:paraId="6B0A6953">
      <w:pPr>
        <w:pStyle w:val="2"/>
        <w:spacing w:after="156"/>
        <w:ind w:left="0" w:leftChars="0" w:firstLine="0" w:firstLineChars="0"/>
        <w:jc w:val="center"/>
        <w:rPr>
          <w:highlight w:val="none"/>
        </w:rPr>
      </w:pPr>
      <w:bookmarkStart w:id="9" w:name="_Toc1083"/>
      <w:bookmarkStart w:id="10" w:name="_Toc31451"/>
      <w:r>
        <w:rPr>
          <w:highlight w:val="none"/>
        </w:rPr>
        <w:t>“</w:t>
      </w:r>
      <w:r>
        <w:rPr>
          <w:rFonts w:hint="eastAsia"/>
          <w:highlight w:val="none"/>
        </w:rPr>
        <w:t>钱冬生教育基金奖学金</w:t>
      </w:r>
      <w:r>
        <w:rPr>
          <w:highlight w:val="none"/>
        </w:rPr>
        <w:t>”</w:t>
      </w:r>
      <w:r>
        <w:rPr>
          <w:rFonts w:hint="eastAsia"/>
          <w:highlight w:val="none"/>
        </w:rPr>
        <w:t>评定办法</w:t>
      </w:r>
      <w:bookmarkEnd w:id="9"/>
      <w:bookmarkEnd w:id="10"/>
    </w:p>
    <w:p w14:paraId="69BB4CAE">
      <w:pPr>
        <w:ind w:firstLine="0" w:firstLineChars="0"/>
        <w:rPr>
          <w:rFonts w:ascii="黑体" w:hAnsi="黑体" w:eastAsia="黑体"/>
          <w:b/>
          <w:szCs w:val="24"/>
          <w:highlight w:val="none"/>
        </w:rPr>
      </w:pPr>
      <w:r>
        <w:rPr>
          <w:rFonts w:hint="eastAsia" w:ascii="黑体" w:hAnsi="黑体" w:eastAsia="黑体"/>
          <w:b/>
          <w:szCs w:val="24"/>
          <w:highlight w:val="none"/>
        </w:rPr>
        <w:t>一、奖学金名称</w:t>
      </w:r>
    </w:p>
    <w:p w14:paraId="174EE457">
      <w:pPr>
        <w:ind w:firstLine="480"/>
        <w:rPr>
          <w:highlight w:val="none"/>
        </w:rPr>
      </w:pPr>
      <w:r>
        <w:rPr>
          <w:highlight w:val="none"/>
        </w:rPr>
        <w:t>西南交通大学“</w:t>
      </w:r>
      <w:r>
        <w:rPr>
          <w:rFonts w:hint="eastAsia"/>
          <w:highlight w:val="none"/>
        </w:rPr>
        <w:t>钱冬生教育基金奖学金</w:t>
      </w:r>
      <w:r>
        <w:rPr>
          <w:highlight w:val="none"/>
        </w:rPr>
        <w:t>”</w:t>
      </w:r>
    </w:p>
    <w:p w14:paraId="50755808">
      <w:pPr>
        <w:ind w:firstLine="0" w:firstLineChars="0"/>
        <w:rPr>
          <w:rFonts w:ascii="黑体" w:hAnsi="黑体" w:eastAsia="黑体"/>
          <w:b/>
          <w:szCs w:val="24"/>
          <w:highlight w:val="none"/>
        </w:rPr>
      </w:pPr>
      <w:r>
        <w:rPr>
          <w:rFonts w:hint="eastAsia" w:ascii="黑体" w:hAnsi="黑体" w:eastAsia="黑体"/>
          <w:b/>
          <w:szCs w:val="24"/>
          <w:highlight w:val="none"/>
        </w:rPr>
        <w:t>二、奖励对象</w:t>
      </w:r>
    </w:p>
    <w:p w14:paraId="6E6AA172">
      <w:pPr>
        <w:ind w:firstLine="480"/>
        <w:rPr>
          <w:highlight w:val="none"/>
        </w:rPr>
      </w:pPr>
      <w:r>
        <w:rPr>
          <w:rFonts w:hint="eastAsia"/>
          <w:highlight w:val="none"/>
        </w:rPr>
        <w:t>在学术、科研等方面取得突出成绩的、品学兼优的、具有西南交通大学土木工程学院正式学籍的全日制博士生、硕士生、本科生。</w:t>
      </w:r>
    </w:p>
    <w:p w14:paraId="236F46E8">
      <w:pPr>
        <w:ind w:firstLine="480"/>
        <w:rPr>
          <w:highlight w:val="none"/>
        </w:rPr>
      </w:pPr>
      <w:r>
        <w:rPr>
          <w:rFonts w:hint="eastAsia"/>
          <w:highlight w:val="none"/>
        </w:rPr>
        <w:t>1.博士研究生：1名  5000元/年（伍仟元）</w:t>
      </w:r>
    </w:p>
    <w:p w14:paraId="55749312">
      <w:pPr>
        <w:ind w:firstLine="480"/>
        <w:rPr>
          <w:highlight w:val="none"/>
        </w:rPr>
      </w:pPr>
      <w:r>
        <w:rPr>
          <w:rFonts w:hint="eastAsia"/>
          <w:highlight w:val="none"/>
        </w:rPr>
        <w:t>2.硕士研究生：2名  4000元/年（肆仟元）</w:t>
      </w:r>
    </w:p>
    <w:p w14:paraId="7798CEF0">
      <w:pPr>
        <w:ind w:firstLine="480"/>
        <w:rPr>
          <w:highlight w:val="none"/>
        </w:rPr>
      </w:pPr>
      <w:r>
        <w:rPr>
          <w:rFonts w:hint="eastAsia"/>
          <w:highlight w:val="none"/>
        </w:rPr>
        <w:t>3.本 科 生： 2名   3000元/年（叁仟元）</w:t>
      </w:r>
    </w:p>
    <w:p w14:paraId="64BB4B21">
      <w:pPr>
        <w:ind w:firstLine="0" w:firstLineChars="0"/>
        <w:rPr>
          <w:rFonts w:ascii="黑体" w:hAnsi="黑体" w:eastAsia="黑体"/>
          <w:b/>
          <w:szCs w:val="24"/>
          <w:highlight w:val="none"/>
        </w:rPr>
      </w:pPr>
      <w:r>
        <w:rPr>
          <w:rFonts w:hint="eastAsia" w:ascii="黑体" w:hAnsi="黑体" w:eastAsia="黑体"/>
          <w:b/>
          <w:szCs w:val="24"/>
          <w:highlight w:val="none"/>
        </w:rPr>
        <w:t>三、评选条件</w:t>
      </w:r>
    </w:p>
    <w:p w14:paraId="16161AC6">
      <w:pPr>
        <w:ind w:firstLine="480"/>
        <w:rPr>
          <w:highlight w:val="none"/>
        </w:rPr>
      </w:pPr>
      <w:r>
        <w:rPr>
          <w:rFonts w:hint="eastAsia"/>
          <w:highlight w:val="none"/>
        </w:rPr>
        <w:t>1.坚持正确的政治方向，热爱社会主义，热爱祖国，立志为建设社会主义现代化强国而奋斗，思想作风表现良好；</w:t>
      </w:r>
    </w:p>
    <w:p w14:paraId="25BB29E6">
      <w:pPr>
        <w:ind w:firstLine="480"/>
        <w:rPr>
          <w:highlight w:val="none"/>
        </w:rPr>
      </w:pPr>
      <w:r>
        <w:rPr>
          <w:rFonts w:hint="eastAsia"/>
          <w:highlight w:val="none"/>
        </w:rPr>
        <w:t xml:space="preserve">2.学习勤奋刻苦，具有创新、合作精神，积极从事科研工作并取得好成绩； </w:t>
      </w:r>
    </w:p>
    <w:p w14:paraId="01E39E92">
      <w:pPr>
        <w:ind w:firstLine="480"/>
        <w:rPr>
          <w:highlight w:val="none"/>
        </w:rPr>
      </w:pPr>
      <w:r>
        <w:rPr>
          <w:rFonts w:hint="eastAsia"/>
          <w:highlight w:val="none"/>
        </w:rPr>
        <w:t>3.模范遵守法规、校规和社会公德，在学风、校风和精神文明建设中起骨干带头作用；</w:t>
      </w:r>
    </w:p>
    <w:p w14:paraId="07847CCE">
      <w:pPr>
        <w:ind w:firstLine="480"/>
        <w:rPr>
          <w:highlight w:val="none"/>
        </w:rPr>
      </w:pPr>
      <w:r>
        <w:rPr>
          <w:rFonts w:hint="eastAsia"/>
          <w:highlight w:val="none"/>
        </w:rPr>
        <w:t>4.积极参加班级和院校组织的集体活动及社会公益活动，综合素质良好，在德、智、体方面全面发展。</w:t>
      </w:r>
    </w:p>
    <w:p w14:paraId="66ECCDD1">
      <w:pPr>
        <w:ind w:firstLine="0" w:firstLineChars="0"/>
        <w:rPr>
          <w:rFonts w:ascii="黑体" w:hAnsi="黑体" w:eastAsia="黑体"/>
          <w:b/>
          <w:szCs w:val="24"/>
          <w:highlight w:val="none"/>
        </w:rPr>
      </w:pPr>
      <w:r>
        <w:rPr>
          <w:rFonts w:hint="eastAsia" w:ascii="黑体" w:hAnsi="黑体" w:eastAsia="黑体"/>
          <w:b/>
          <w:szCs w:val="24"/>
          <w:highlight w:val="none"/>
        </w:rPr>
        <w:t>四、评选方法</w:t>
      </w:r>
    </w:p>
    <w:p w14:paraId="38F2B6E4">
      <w:pPr>
        <w:ind w:firstLine="480"/>
        <w:rPr>
          <w:highlight w:val="none"/>
        </w:rPr>
      </w:pPr>
      <w:r>
        <w:rPr>
          <w:rFonts w:hint="eastAsia"/>
          <w:highlight w:val="none"/>
        </w:rPr>
        <w:t>每年评选一次，由学生自主申报，评选材料及结果报甲方审核并备案后再发放奖励基金。其余评定方法及程序按照学校奖学金评选的有关规定执行。</w:t>
      </w:r>
    </w:p>
    <w:p w14:paraId="31A7FD26">
      <w:pPr>
        <w:ind w:firstLine="480"/>
        <w:rPr>
          <w:highlight w:val="none"/>
        </w:rPr>
      </w:pPr>
    </w:p>
    <w:p w14:paraId="7EC697C5">
      <w:pPr>
        <w:ind w:firstLine="480"/>
        <w:rPr>
          <w:highlight w:val="none"/>
        </w:rPr>
      </w:pPr>
    </w:p>
    <w:p w14:paraId="08684921">
      <w:pPr>
        <w:ind w:firstLine="480"/>
        <w:rPr>
          <w:highlight w:val="none"/>
        </w:rPr>
      </w:pPr>
    </w:p>
    <w:p w14:paraId="2B9F7D76">
      <w:pPr>
        <w:ind w:firstLine="480"/>
        <w:rPr>
          <w:highlight w:val="none"/>
        </w:rPr>
      </w:pPr>
    </w:p>
    <w:p w14:paraId="186478F3">
      <w:pPr>
        <w:ind w:firstLine="480"/>
        <w:rPr>
          <w:highlight w:val="none"/>
        </w:rPr>
      </w:pPr>
    </w:p>
    <w:p w14:paraId="349263DA">
      <w:pPr>
        <w:ind w:firstLine="480"/>
        <w:rPr>
          <w:highlight w:val="none"/>
        </w:rPr>
      </w:pPr>
    </w:p>
    <w:p w14:paraId="38B9EC0E">
      <w:pPr>
        <w:ind w:firstLine="480"/>
        <w:rPr>
          <w:highlight w:val="none"/>
        </w:rPr>
      </w:pPr>
    </w:p>
    <w:p w14:paraId="04AC482E">
      <w:pPr>
        <w:ind w:firstLine="480"/>
        <w:rPr>
          <w:highlight w:val="none"/>
        </w:rPr>
      </w:pPr>
    </w:p>
    <w:p w14:paraId="0F7D96A5">
      <w:pPr>
        <w:rPr>
          <w:rFonts w:hint="eastAsia"/>
          <w:highlight w:val="none"/>
          <w:lang w:eastAsia="zh-CN"/>
        </w:rPr>
      </w:pPr>
      <w:r>
        <w:rPr>
          <w:rFonts w:hint="eastAsia"/>
          <w:highlight w:val="none"/>
          <w:lang w:eastAsia="zh-CN"/>
        </w:rPr>
        <w:br w:type="page"/>
      </w:r>
    </w:p>
    <w:p w14:paraId="153FDB90">
      <w:pPr>
        <w:pStyle w:val="2"/>
        <w:spacing w:after="156"/>
        <w:ind w:firstLine="640"/>
        <w:rPr>
          <w:rFonts w:hint="eastAsia"/>
          <w:highlight w:val="none"/>
          <w:lang w:eastAsia="zh-CN"/>
        </w:rPr>
      </w:pPr>
      <w:bookmarkStart w:id="11" w:name="_Toc28821"/>
      <w:bookmarkStart w:id="12" w:name="_Toc16160"/>
      <w:r>
        <w:rPr>
          <w:rFonts w:hint="eastAsia"/>
          <w:highlight w:val="none"/>
          <w:lang w:eastAsia="zh-CN"/>
        </w:rPr>
        <w:t>强士中奖学金</w:t>
      </w:r>
      <w:bookmarkEnd w:id="11"/>
      <w:bookmarkEnd w:id="12"/>
    </w:p>
    <w:p w14:paraId="4394EAC0">
      <w:pPr>
        <w:spacing w:line="360" w:lineRule="auto"/>
        <w:ind w:firstLine="480"/>
        <w:rPr>
          <w:rFonts w:hint="eastAsia"/>
          <w:sz w:val="24"/>
          <w:szCs w:val="24"/>
          <w:highlight w:val="none"/>
        </w:rPr>
      </w:pPr>
      <w:r>
        <w:rPr>
          <w:rFonts w:hint="eastAsia"/>
          <w:sz w:val="24"/>
          <w:szCs w:val="24"/>
          <w:highlight w:val="none"/>
        </w:rPr>
        <w:t>为了弘扬我国著名桥梁专家强士中教授的教育精神、关爱学生和潜心学术研究的高尚品格，支持国家教育事业的发展，鼓励在校学生刻苦学习、勇于创新，在强士中教授80华诞之际，由我国桥梁界有关单位和他的学生们倡议和发起，特设立西南交通大学强士中</w:t>
      </w:r>
      <w:r>
        <w:rPr>
          <w:rFonts w:hint="eastAsia"/>
          <w:sz w:val="24"/>
          <w:szCs w:val="24"/>
          <w:highlight w:val="none"/>
          <w:lang w:eastAsia="zh-CN"/>
        </w:rPr>
        <w:t>奖学</w:t>
      </w:r>
      <w:r>
        <w:rPr>
          <w:rFonts w:hint="eastAsia"/>
          <w:sz w:val="24"/>
          <w:szCs w:val="24"/>
          <w:highlight w:val="none"/>
        </w:rPr>
        <w:t>金。</w:t>
      </w:r>
      <w:r>
        <w:rPr>
          <w:rFonts w:hint="eastAsia"/>
          <w:sz w:val="24"/>
          <w:szCs w:val="24"/>
          <w:highlight w:val="none"/>
          <w:lang w:eastAsia="zh-CN"/>
        </w:rPr>
        <w:t>奖学</w:t>
      </w:r>
      <w:r>
        <w:rPr>
          <w:rFonts w:hint="eastAsia"/>
          <w:sz w:val="24"/>
          <w:szCs w:val="24"/>
          <w:highlight w:val="none"/>
        </w:rPr>
        <w:t>金由四川西南交通大学教育基金会管理并成立强士中</w:t>
      </w:r>
      <w:r>
        <w:rPr>
          <w:rFonts w:hint="eastAsia"/>
          <w:sz w:val="24"/>
          <w:szCs w:val="24"/>
          <w:highlight w:val="none"/>
          <w:lang w:eastAsia="zh-CN"/>
        </w:rPr>
        <w:t>奖学</w:t>
      </w:r>
      <w:r>
        <w:rPr>
          <w:rFonts w:hint="eastAsia"/>
          <w:sz w:val="24"/>
          <w:szCs w:val="24"/>
          <w:highlight w:val="none"/>
        </w:rPr>
        <w:t>金专项基金。本</w:t>
      </w:r>
      <w:r>
        <w:rPr>
          <w:rFonts w:hint="eastAsia"/>
          <w:sz w:val="24"/>
          <w:szCs w:val="24"/>
          <w:highlight w:val="none"/>
          <w:lang w:eastAsia="zh-CN"/>
        </w:rPr>
        <w:t>奖学</w:t>
      </w:r>
      <w:r>
        <w:rPr>
          <w:rFonts w:hint="eastAsia"/>
          <w:sz w:val="24"/>
          <w:szCs w:val="24"/>
          <w:highlight w:val="none"/>
        </w:rPr>
        <w:t>金由单位和个人捐赠组成。</w:t>
      </w:r>
      <w:r>
        <w:rPr>
          <w:rFonts w:hint="eastAsia"/>
          <w:sz w:val="24"/>
          <w:szCs w:val="24"/>
          <w:highlight w:val="none"/>
          <w:lang w:eastAsia="zh-CN"/>
        </w:rPr>
        <w:t>奖学</w:t>
      </w:r>
      <w:r>
        <w:rPr>
          <w:rFonts w:hint="eastAsia"/>
          <w:sz w:val="24"/>
          <w:szCs w:val="24"/>
          <w:highlight w:val="none"/>
        </w:rPr>
        <w:t>金</w:t>
      </w:r>
      <w:r>
        <w:rPr>
          <w:rFonts w:hint="eastAsia" w:ascii="Times New Roman" w:hAnsi="Times New Roman" w:eastAsia="宋体" w:cs="Times New Roman"/>
          <w:sz w:val="24"/>
          <w:szCs w:val="24"/>
          <w:highlight w:val="none"/>
        </w:rPr>
        <w:t>按照《西南交通大学奖助学金评审管理办法》及《土木工程学院专项奖助金评选办法》</w:t>
      </w:r>
      <w:r>
        <w:rPr>
          <w:rFonts w:hint="eastAsia" w:ascii="Times New Roman" w:hAnsi="Times New Roman" w:eastAsia="宋体" w:cs="Times New Roman"/>
          <w:sz w:val="24"/>
          <w:szCs w:val="24"/>
          <w:highlight w:val="none"/>
          <w:lang w:val="en-US" w:eastAsia="zh-CN"/>
        </w:rPr>
        <w:t>，本着公开、公平、公正原则，</w:t>
      </w:r>
      <w:r>
        <w:rPr>
          <w:rFonts w:hint="eastAsia"/>
          <w:sz w:val="24"/>
          <w:szCs w:val="24"/>
          <w:highlight w:val="none"/>
        </w:rPr>
        <w:t>每年评定和奖励桥梁工程方向优秀学生一次，以</w:t>
      </w:r>
      <w:r>
        <w:rPr>
          <w:rFonts w:hint="eastAsia"/>
          <w:sz w:val="24"/>
          <w:szCs w:val="24"/>
          <w:highlight w:val="none"/>
          <w:lang w:eastAsia="zh-CN"/>
        </w:rPr>
        <w:t>捐赠</w:t>
      </w:r>
      <w:r>
        <w:rPr>
          <w:rFonts w:hint="eastAsia"/>
          <w:sz w:val="24"/>
          <w:szCs w:val="24"/>
          <w:highlight w:val="none"/>
        </w:rPr>
        <w:t>本金作为</w:t>
      </w:r>
      <w:r>
        <w:rPr>
          <w:rFonts w:hint="eastAsia"/>
          <w:sz w:val="24"/>
          <w:szCs w:val="24"/>
          <w:highlight w:val="none"/>
          <w:lang w:eastAsia="zh-CN"/>
        </w:rPr>
        <w:t>学生奖学</w:t>
      </w:r>
      <w:r>
        <w:rPr>
          <w:rFonts w:hint="eastAsia"/>
          <w:sz w:val="24"/>
          <w:szCs w:val="24"/>
          <w:highlight w:val="none"/>
        </w:rPr>
        <w:t>金。</w:t>
      </w:r>
    </w:p>
    <w:p w14:paraId="289DE069">
      <w:pPr>
        <w:numPr>
          <w:ilvl w:val="0"/>
          <w:numId w:val="0"/>
        </w:numPr>
        <w:spacing w:line="360" w:lineRule="auto"/>
        <w:rPr>
          <w:rFonts w:hint="eastAsia" w:ascii="Times New Roman" w:hAnsi="Times New Roman" w:eastAsia="宋体" w:cs="Times New Roman"/>
          <w:sz w:val="24"/>
          <w:szCs w:val="24"/>
          <w:highlight w:val="none"/>
        </w:rPr>
      </w:pPr>
      <w:r>
        <w:rPr>
          <w:rFonts w:hint="eastAsia" w:ascii="黑体" w:hAnsi="黑体" w:eastAsia="黑体"/>
          <w:b/>
          <w:sz w:val="24"/>
          <w:szCs w:val="24"/>
          <w:highlight w:val="none"/>
          <w:lang w:val="en-US" w:eastAsia="zh-CN"/>
        </w:rPr>
        <w:t>一、</w:t>
      </w:r>
      <w:r>
        <w:rPr>
          <w:rFonts w:hint="eastAsia" w:ascii="黑体" w:hAnsi="黑体" w:eastAsia="黑体"/>
          <w:b/>
          <w:sz w:val="24"/>
          <w:szCs w:val="24"/>
          <w:highlight w:val="none"/>
        </w:rPr>
        <w:t>评奖范围</w:t>
      </w:r>
    </w:p>
    <w:p w14:paraId="4643A9F0">
      <w:pPr>
        <w:adjustRightInd w:val="0"/>
        <w:snapToGrid w:val="0"/>
        <w:spacing w:line="360" w:lineRule="auto"/>
        <w:ind w:firstLine="537" w:firstLineChars="224"/>
        <w:rPr>
          <w:rFonts w:hint="eastAsia"/>
          <w:sz w:val="24"/>
          <w:szCs w:val="24"/>
          <w:highlight w:val="none"/>
        </w:rPr>
      </w:pPr>
      <w:r>
        <w:rPr>
          <w:rFonts w:hint="eastAsia"/>
          <w:sz w:val="24"/>
          <w:szCs w:val="24"/>
          <w:highlight w:val="none"/>
          <w:lang w:eastAsia="zh-CN"/>
        </w:rPr>
        <w:t>奖学</w:t>
      </w:r>
      <w:r>
        <w:rPr>
          <w:rFonts w:hint="eastAsia"/>
          <w:sz w:val="24"/>
          <w:szCs w:val="24"/>
          <w:highlight w:val="none"/>
        </w:rPr>
        <w:t>金的奖励范围和申报条件是：在学术、科研等方面取得突出成绩的、品学兼优的、具有西南交通大学土木工程学院正式学籍的全日制博士生、硕士生和本科生。</w:t>
      </w:r>
    </w:p>
    <w:p w14:paraId="3AD18EC4">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二、奖励人数及金额</w:t>
      </w:r>
    </w:p>
    <w:p w14:paraId="7F7ADB3A">
      <w:pPr>
        <w:adjustRightInd w:val="0"/>
        <w:snapToGrid w:val="0"/>
        <w:spacing w:line="360" w:lineRule="auto"/>
        <w:ind w:firstLine="537" w:firstLineChars="224"/>
        <w:rPr>
          <w:rFonts w:hint="eastAsia"/>
          <w:sz w:val="24"/>
          <w:szCs w:val="24"/>
          <w:highlight w:val="none"/>
        </w:rPr>
      </w:pPr>
      <w:r>
        <w:rPr>
          <w:rFonts w:hint="eastAsia"/>
          <w:sz w:val="24"/>
          <w:szCs w:val="24"/>
          <w:highlight w:val="none"/>
        </w:rPr>
        <w:t>每学年奖励桥梁方向和道桥渡方向本科生（入学满2年）二名，每人奖励人民币</w:t>
      </w:r>
      <w:r>
        <w:rPr>
          <w:rFonts w:hint="eastAsia"/>
          <w:sz w:val="24"/>
          <w:szCs w:val="24"/>
          <w:highlight w:val="none"/>
          <w:lang w:val="en-US" w:eastAsia="zh-CN"/>
        </w:rPr>
        <w:t>3</w:t>
      </w:r>
      <w:r>
        <w:rPr>
          <w:rFonts w:hint="eastAsia"/>
          <w:sz w:val="24"/>
          <w:szCs w:val="24"/>
          <w:highlight w:val="none"/>
        </w:rPr>
        <w:t>000元；桥梁专业硕士研究生二名，每人奖励人民币</w:t>
      </w:r>
      <w:r>
        <w:rPr>
          <w:rFonts w:hint="eastAsia"/>
          <w:sz w:val="24"/>
          <w:szCs w:val="24"/>
          <w:highlight w:val="none"/>
          <w:lang w:val="en-US" w:eastAsia="zh-CN"/>
        </w:rPr>
        <w:t>4</w:t>
      </w:r>
      <w:r>
        <w:rPr>
          <w:rFonts w:hint="eastAsia"/>
          <w:sz w:val="24"/>
          <w:szCs w:val="24"/>
          <w:highlight w:val="none"/>
        </w:rPr>
        <w:t>000元；桥梁专业博士研究生一名，每人奖励人民币</w:t>
      </w:r>
      <w:r>
        <w:rPr>
          <w:rFonts w:hint="eastAsia"/>
          <w:sz w:val="24"/>
          <w:szCs w:val="24"/>
          <w:highlight w:val="none"/>
          <w:lang w:val="en-US" w:eastAsia="zh-CN"/>
        </w:rPr>
        <w:t>5</w:t>
      </w:r>
      <w:r>
        <w:rPr>
          <w:rFonts w:hint="eastAsia"/>
          <w:sz w:val="24"/>
          <w:szCs w:val="24"/>
          <w:highlight w:val="none"/>
        </w:rPr>
        <w:t>000元。</w:t>
      </w:r>
    </w:p>
    <w:p w14:paraId="16DC4DAE">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三、评选条件</w:t>
      </w:r>
    </w:p>
    <w:p w14:paraId="6245B732">
      <w:pPr>
        <w:adjustRightInd w:val="0"/>
        <w:snapToGrid w:val="0"/>
        <w:spacing w:line="360" w:lineRule="auto"/>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1.思想积极、要求上进，有良好的道德修养，热爱祖国，爱校爱院；</w:t>
      </w:r>
    </w:p>
    <w:p w14:paraId="0DB19390">
      <w:pPr>
        <w:adjustRightInd w:val="0"/>
        <w:snapToGrid w:val="0"/>
        <w:spacing w:line="360" w:lineRule="auto"/>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2.热爱</w:t>
      </w:r>
      <w:r>
        <w:rPr>
          <w:rFonts w:hint="eastAsia" w:ascii="Times New Roman" w:hAnsi="Times New Roman" w:eastAsia="宋体" w:cs="Times New Roman"/>
          <w:sz w:val="24"/>
          <w:szCs w:val="24"/>
          <w:highlight w:val="none"/>
          <w:lang w:val="en-US" w:eastAsia="zh-CN"/>
        </w:rPr>
        <w:t>桥梁</w:t>
      </w:r>
      <w:r>
        <w:rPr>
          <w:rFonts w:hint="eastAsia" w:ascii="Times New Roman" w:hAnsi="Times New Roman" w:eastAsia="宋体" w:cs="Times New Roman"/>
          <w:sz w:val="24"/>
          <w:szCs w:val="24"/>
          <w:highlight w:val="none"/>
        </w:rPr>
        <w:t>工程专业，立志为国家</w:t>
      </w:r>
      <w:r>
        <w:rPr>
          <w:rFonts w:hint="eastAsia" w:ascii="Times New Roman" w:hAnsi="Times New Roman" w:eastAsia="宋体" w:cs="Times New Roman"/>
          <w:sz w:val="24"/>
          <w:szCs w:val="24"/>
          <w:highlight w:val="none"/>
          <w:lang w:val="en-US" w:eastAsia="zh-CN"/>
        </w:rPr>
        <w:t>桥梁</w:t>
      </w:r>
      <w:r>
        <w:rPr>
          <w:rFonts w:hint="eastAsia" w:ascii="Times New Roman" w:hAnsi="Times New Roman" w:eastAsia="宋体" w:cs="Times New Roman"/>
          <w:sz w:val="24"/>
          <w:szCs w:val="24"/>
          <w:highlight w:val="none"/>
        </w:rPr>
        <w:t>事业努力奋斗；</w:t>
      </w:r>
    </w:p>
    <w:p w14:paraId="56C7F461">
      <w:pPr>
        <w:adjustRightInd w:val="0"/>
        <w:snapToGrid w:val="0"/>
        <w:spacing w:line="360" w:lineRule="auto"/>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3.学习努力刻苦，学习成绩优良；</w:t>
      </w:r>
    </w:p>
    <w:p w14:paraId="3FCCCD5E">
      <w:pPr>
        <w:adjustRightInd w:val="0"/>
        <w:snapToGrid w:val="0"/>
        <w:spacing w:line="360" w:lineRule="auto"/>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4.积极参与学校活动及社会工作，在学术、科研等方面取得突出成绩。</w:t>
      </w:r>
    </w:p>
    <w:p w14:paraId="1397D354">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四、评选程序</w:t>
      </w:r>
    </w:p>
    <w:p w14:paraId="4BCFEAC1">
      <w:pPr>
        <w:numPr>
          <w:ilvl w:val="0"/>
          <w:numId w:val="0"/>
        </w:numPr>
        <w:adjustRightInd w:val="0"/>
        <w:snapToGrid w:val="0"/>
        <w:spacing w:line="360" w:lineRule="auto"/>
        <w:ind w:firstLine="480" w:firstLineChars="200"/>
        <w:rPr>
          <w:rFonts w:hint="eastAsia"/>
          <w:sz w:val="24"/>
          <w:szCs w:val="24"/>
          <w:highlight w:val="none"/>
        </w:rPr>
      </w:pPr>
      <w:r>
        <w:rPr>
          <w:rFonts w:hint="eastAsia"/>
          <w:sz w:val="24"/>
          <w:szCs w:val="24"/>
          <w:highlight w:val="none"/>
          <w:lang w:val="en-US" w:eastAsia="zh-CN"/>
        </w:rPr>
        <w:t>1.</w:t>
      </w:r>
      <w:r>
        <w:rPr>
          <w:rFonts w:hint="eastAsia"/>
          <w:sz w:val="24"/>
          <w:szCs w:val="24"/>
          <w:highlight w:val="none"/>
        </w:rPr>
        <w:t>学生本人申请，各系所（单位）推荐，土木学院（单位）初审；</w:t>
      </w:r>
    </w:p>
    <w:p w14:paraId="1C97A138">
      <w:pPr>
        <w:numPr>
          <w:ilvl w:val="0"/>
          <w:numId w:val="0"/>
        </w:numPr>
        <w:adjustRightInd w:val="0"/>
        <w:snapToGrid w:val="0"/>
        <w:spacing w:line="360" w:lineRule="auto"/>
        <w:ind w:firstLine="480" w:firstLineChars="200"/>
        <w:rPr>
          <w:rFonts w:hint="eastAsia"/>
          <w:sz w:val="24"/>
          <w:szCs w:val="24"/>
          <w:highlight w:val="none"/>
        </w:rPr>
      </w:pPr>
      <w:r>
        <w:rPr>
          <w:rFonts w:hint="eastAsia"/>
          <w:sz w:val="24"/>
          <w:szCs w:val="24"/>
          <w:highlight w:val="none"/>
          <w:lang w:val="en-US" w:eastAsia="zh-CN"/>
        </w:rPr>
        <w:t>2.</w:t>
      </w:r>
      <w:r>
        <w:rPr>
          <w:rFonts w:hint="eastAsia"/>
          <w:sz w:val="24"/>
          <w:szCs w:val="24"/>
          <w:highlight w:val="none"/>
        </w:rPr>
        <w:t>土木学院（单位）向管理委员会推荐候选人员名单；</w:t>
      </w:r>
    </w:p>
    <w:p w14:paraId="191B6717">
      <w:pPr>
        <w:numPr>
          <w:ilvl w:val="0"/>
          <w:numId w:val="0"/>
        </w:numPr>
        <w:adjustRightInd w:val="0"/>
        <w:snapToGrid w:val="0"/>
        <w:spacing w:line="360" w:lineRule="auto"/>
        <w:ind w:firstLine="480" w:firstLineChars="200"/>
        <w:rPr>
          <w:rFonts w:hint="eastAsia"/>
          <w:sz w:val="24"/>
          <w:szCs w:val="24"/>
          <w:highlight w:val="none"/>
        </w:rPr>
      </w:pPr>
      <w:r>
        <w:rPr>
          <w:rFonts w:hint="eastAsia"/>
          <w:sz w:val="24"/>
          <w:szCs w:val="24"/>
          <w:highlight w:val="none"/>
          <w:lang w:val="en-US" w:eastAsia="zh-CN"/>
        </w:rPr>
        <w:t>3.</w:t>
      </w:r>
      <w:r>
        <w:rPr>
          <w:rFonts w:hint="eastAsia"/>
          <w:sz w:val="24"/>
          <w:szCs w:val="24"/>
          <w:highlight w:val="none"/>
        </w:rPr>
        <w:t>管理委员会审批，公示后奖励。</w:t>
      </w:r>
    </w:p>
    <w:p w14:paraId="5FD15F5D">
      <w:pPr>
        <w:pStyle w:val="2"/>
        <w:bidi w:val="0"/>
        <w:rPr>
          <w:rFonts w:ascii="黑体" w:hAnsi="黑体" w:eastAsia="黑体"/>
          <w:szCs w:val="28"/>
        </w:rPr>
      </w:pPr>
      <w:r>
        <w:rPr>
          <w:rFonts w:hint="eastAsia"/>
          <w:highlight w:val="none"/>
          <w:lang w:eastAsia="zh-CN"/>
        </w:rPr>
        <w:br w:type="page"/>
      </w:r>
      <w:bookmarkStart w:id="13" w:name="_Toc6754"/>
      <w:r>
        <w:t>西南交通大学“欧维姆奖学金评选办法”</w:t>
      </w:r>
      <w:bookmarkEnd w:id="13"/>
    </w:p>
    <w:p w14:paraId="5E425535">
      <w:pPr>
        <w:spacing w:line="420" w:lineRule="auto"/>
        <w:rPr>
          <w:rFonts w:hint="eastAsia" w:ascii="宋体" w:hAnsi="宋体"/>
          <w:b w:val="0"/>
          <w:bCs/>
          <w:sz w:val="24"/>
        </w:rPr>
      </w:pPr>
      <w:r>
        <w:rPr>
          <w:rFonts w:hint="eastAsia" w:ascii="宋体" w:hAnsi="宋体"/>
          <w:b w:val="0"/>
          <w:bCs/>
          <w:sz w:val="24"/>
        </w:rPr>
        <w:t>为支持西南交通大学教育事业发展，鼓励学生刻苦钻研，勇于创新，全面发展，努力成为“大国重器”的建设者和接班人，柳州欧维姆机械股份有限公司特在西南交通大学设立“西南交通大学欧维姆奖学金”。评定办法如下:</w:t>
      </w:r>
    </w:p>
    <w:p w14:paraId="4EE0EC57">
      <w:pPr>
        <w:spacing w:line="420" w:lineRule="auto"/>
        <w:rPr>
          <w:rFonts w:hint="eastAsia" w:ascii="宋体" w:hAnsi="宋体"/>
          <w:sz w:val="24"/>
        </w:rPr>
      </w:pPr>
      <w:r>
        <w:rPr>
          <w:rFonts w:hint="eastAsia" w:ascii="宋体" w:hAnsi="宋体"/>
          <w:b/>
          <w:sz w:val="24"/>
        </w:rPr>
        <w:t>一、评奖范围</w:t>
      </w:r>
    </w:p>
    <w:p w14:paraId="73DD50F7">
      <w:pPr>
        <w:spacing w:line="420" w:lineRule="auto"/>
        <w:ind w:firstLine="480" w:firstLineChars="200"/>
        <w:rPr>
          <w:rFonts w:ascii="宋体" w:hAnsi="宋体"/>
          <w:sz w:val="24"/>
        </w:rPr>
      </w:pPr>
      <w:r>
        <w:rPr>
          <w:rFonts w:hint="eastAsia" w:ascii="宋体" w:hAnsi="宋体"/>
          <w:sz w:val="24"/>
        </w:rPr>
        <w:t>西南交通大土木工程学院、利兹学院、智慧城市与交通学院，学习成绩优秀积极从事科研工作并取得较好成绩、品学兼优的土木工程方向的全日制在读统招硕博研究生、本科生(仅限大三、大四)。</w:t>
      </w:r>
    </w:p>
    <w:p w14:paraId="64CCE411">
      <w:pPr>
        <w:spacing w:line="420" w:lineRule="auto"/>
        <w:rPr>
          <w:rFonts w:hint="default" w:ascii="宋体" w:hAnsi="宋体" w:eastAsia="宋体"/>
          <w:b/>
          <w:sz w:val="24"/>
          <w:lang w:val="en-US" w:eastAsia="zh-CN"/>
        </w:rPr>
      </w:pPr>
      <w:r>
        <w:rPr>
          <w:rFonts w:hint="eastAsia" w:ascii="宋体" w:hAnsi="宋体"/>
          <w:b/>
          <w:sz w:val="24"/>
        </w:rPr>
        <w:t>二、奖励</w:t>
      </w:r>
      <w:r>
        <w:rPr>
          <w:rFonts w:hint="eastAsia" w:ascii="宋体" w:hAnsi="宋体"/>
          <w:b/>
          <w:sz w:val="24"/>
          <w:lang w:val="en-US" w:eastAsia="zh-CN"/>
        </w:rPr>
        <w:t>人数及金额</w:t>
      </w:r>
    </w:p>
    <w:p w14:paraId="0F043196">
      <w:pPr>
        <w:spacing w:line="420" w:lineRule="auto"/>
        <w:ind w:firstLine="480" w:firstLineChars="200"/>
        <w:rPr>
          <w:rFonts w:ascii="宋体" w:hAnsi="宋体"/>
          <w:sz w:val="24"/>
        </w:rPr>
      </w:pPr>
      <w:r>
        <w:rPr>
          <w:rFonts w:hint="eastAsia" w:ascii="宋体" w:hAnsi="宋体"/>
          <w:sz w:val="24"/>
        </w:rPr>
        <w:t>学习成绩优秀、积极从事科研工作并取得较好成绩、品学兼优的土木工程方向的在校研究生。</w:t>
      </w:r>
    </w:p>
    <w:p w14:paraId="0BB0AA4C">
      <w:pPr>
        <w:spacing w:line="420" w:lineRule="auto"/>
        <w:rPr>
          <w:rFonts w:hint="eastAsia" w:ascii="宋体" w:hAnsi="宋体"/>
          <w:sz w:val="24"/>
        </w:rPr>
      </w:pPr>
      <w:r>
        <w:rPr>
          <w:rFonts w:hint="eastAsia" w:ascii="宋体" w:hAnsi="宋体"/>
          <w:sz w:val="24"/>
        </w:rPr>
        <w:t>（一）博士研究生：每年奖励4名，8000元/人。</w:t>
      </w:r>
    </w:p>
    <w:p w14:paraId="0B96B5FE">
      <w:pPr>
        <w:spacing w:line="420" w:lineRule="auto"/>
        <w:rPr>
          <w:rFonts w:hint="eastAsia" w:ascii="宋体" w:hAnsi="宋体"/>
          <w:sz w:val="24"/>
        </w:rPr>
      </w:pPr>
      <w:r>
        <w:rPr>
          <w:rFonts w:hint="eastAsia" w:ascii="宋体" w:hAnsi="宋体"/>
          <w:sz w:val="24"/>
        </w:rPr>
        <w:t>（二）硕士研究生：每年奖励4名，6000元/人。</w:t>
      </w:r>
    </w:p>
    <w:p w14:paraId="4A1E4083">
      <w:pPr>
        <w:spacing w:line="420" w:lineRule="auto"/>
        <w:rPr>
          <w:rFonts w:hint="eastAsia" w:ascii="宋体" w:hAnsi="宋体"/>
          <w:sz w:val="24"/>
        </w:rPr>
      </w:pPr>
      <w:r>
        <w:rPr>
          <w:rFonts w:hint="eastAsia" w:ascii="宋体" w:hAnsi="宋体"/>
          <w:sz w:val="24"/>
        </w:rPr>
        <w:t>（三）本科生：每年奖励10名，4000元/人，面向大三、大四学生。</w:t>
      </w:r>
    </w:p>
    <w:p w14:paraId="407420EF">
      <w:pPr>
        <w:spacing w:line="420" w:lineRule="auto"/>
        <w:rPr>
          <w:rFonts w:hint="eastAsia" w:ascii="宋体" w:hAnsi="宋体"/>
          <w:b w:val="0"/>
          <w:bCs w:val="0"/>
          <w:sz w:val="24"/>
          <w:lang w:val="en-US" w:eastAsia="zh-CN"/>
        </w:rPr>
      </w:pPr>
      <w:r>
        <w:rPr>
          <w:rFonts w:hint="eastAsia" w:ascii="宋体" w:hAnsi="宋体"/>
          <w:b w:val="0"/>
          <w:bCs w:val="0"/>
          <w:sz w:val="24"/>
          <w:lang w:val="en-US" w:eastAsia="zh-CN"/>
        </w:rPr>
        <w:t>各学院分配名额如下：</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666"/>
        <w:gridCol w:w="1637"/>
        <w:gridCol w:w="848"/>
        <w:gridCol w:w="1842"/>
        <w:gridCol w:w="1695"/>
      </w:tblGrid>
      <w:tr w14:paraId="7C90C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176C5C4D">
            <w:pPr>
              <w:keepNext w:val="0"/>
              <w:keepLines w:val="0"/>
              <w:pageBreakBefore w:val="0"/>
              <w:widowControl w:val="0"/>
              <w:kinsoku/>
              <w:wordWrap/>
              <w:overflowPunct/>
              <w:topLinePunct w:val="0"/>
              <w:autoSpaceDE/>
              <w:autoSpaceDN/>
              <w:bidi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eastAsia="宋体" w:cs="宋体"/>
                <w:b/>
                <w:bCs/>
                <w:szCs w:val="21"/>
              </w:rPr>
              <w:t>项目名称</w:t>
            </w:r>
          </w:p>
        </w:tc>
        <w:tc>
          <w:tcPr>
            <w:tcW w:w="1666" w:type="dxa"/>
            <w:vAlign w:val="center"/>
          </w:tcPr>
          <w:p w14:paraId="0B4955C4">
            <w:pPr>
              <w:keepNext w:val="0"/>
              <w:keepLines w:val="0"/>
              <w:pageBreakBefore w:val="0"/>
              <w:widowControl w:val="0"/>
              <w:kinsoku/>
              <w:wordWrap/>
              <w:overflowPunct/>
              <w:topLinePunct w:val="0"/>
              <w:autoSpaceDE/>
              <w:autoSpaceDN/>
              <w:bidi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eastAsia="宋体" w:cs="宋体"/>
                <w:b/>
                <w:bCs/>
                <w:szCs w:val="21"/>
                <w:lang w:val="en-US" w:eastAsia="zh-CN"/>
              </w:rPr>
              <w:t>学院</w:t>
            </w:r>
          </w:p>
        </w:tc>
        <w:tc>
          <w:tcPr>
            <w:tcW w:w="1637" w:type="dxa"/>
            <w:vAlign w:val="center"/>
          </w:tcPr>
          <w:p w14:paraId="002F9196">
            <w:pPr>
              <w:keepNext w:val="0"/>
              <w:keepLines w:val="0"/>
              <w:pageBreakBefore w:val="0"/>
              <w:widowControl w:val="0"/>
              <w:kinsoku/>
              <w:wordWrap/>
              <w:overflowPunct/>
              <w:topLinePunct w:val="0"/>
              <w:autoSpaceDE/>
              <w:autoSpaceDN/>
              <w:bidi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eastAsia="宋体" w:cs="宋体"/>
                <w:b/>
                <w:bCs/>
                <w:szCs w:val="21"/>
                <w:lang w:val="en-US" w:eastAsia="zh-CN"/>
              </w:rPr>
              <w:t>奖励对象</w:t>
            </w:r>
          </w:p>
        </w:tc>
        <w:tc>
          <w:tcPr>
            <w:tcW w:w="848" w:type="dxa"/>
            <w:vAlign w:val="center"/>
          </w:tcPr>
          <w:p w14:paraId="2D630DAE">
            <w:pPr>
              <w:keepNext w:val="0"/>
              <w:keepLines w:val="0"/>
              <w:pageBreakBefore w:val="0"/>
              <w:widowControl w:val="0"/>
              <w:kinsoku/>
              <w:wordWrap/>
              <w:overflowPunct/>
              <w:topLinePunct w:val="0"/>
              <w:autoSpaceDE/>
              <w:autoSpaceDN/>
              <w:bidi w:val="0"/>
              <w:adjustRightInd w:val="0"/>
              <w:snapToGrid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eastAsia="宋体" w:cs="宋体"/>
                <w:b/>
                <w:bCs/>
                <w:szCs w:val="21"/>
              </w:rPr>
              <w:t>年度名额</w:t>
            </w:r>
          </w:p>
        </w:tc>
        <w:tc>
          <w:tcPr>
            <w:tcW w:w="1842" w:type="dxa"/>
            <w:vAlign w:val="center"/>
          </w:tcPr>
          <w:p w14:paraId="762F327E">
            <w:pPr>
              <w:keepNext w:val="0"/>
              <w:keepLines w:val="0"/>
              <w:pageBreakBefore w:val="0"/>
              <w:widowControl w:val="0"/>
              <w:kinsoku/>
              <w:wordWrap/>
              <w:overflowPunct/>
              <w:topLinePunct w:val="0"/>
              <w:autoSpaceDE/>
              <w:autoSpaceDN/>
              <w:bidi w:val="0"/>
              <w:adjustRightInd w:val="0"/>
              <w:snapToGrid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eastAsia="宋体" w:cs="宋体"/>
                <w:b/>
                <w:bCs/>
                <w:szCs w:val="21"/>
              </w:rPr>
              <w:t>奖励标准（元）</w:t>
            </w:r>
          </w:p>
        </w:tc>
        <w:tc>
          <w:tcPr>
            <w:tcW w:w="1695" w:type="dxa"/>
            <w:vAlign w:val="center"/>
          </w:tcPr>
          <w:p w14:paraId="1A12B53A">
            <w:pPr>
              <w:keepNext w:val="0"/>
              <w:keepLines w:val="0"/>
              <w:pageBreakBefore w:val="0"/>
              <w:widowControl w:val="0"/>
              <w:kinsoku/>
              <w:wordWrap/>
              <w:overflowPunct/>
              <w:topLinePunct w:val="0"/>
              <w:autoSpaceDE/>
              <w:autoSpaceDN/>
              <w:bidi w:val="0"/>
              <w:adjustRightInd w:val="0"/>
              <w:snapToGrid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eastAsia="宋体" w:cs="宋体"/>
                <w:b/>
                <w:bCs/>
                <w:szCs w:val="21"/>
              </w:rPr>
              <w:t>年度小计（元）</w:t>
            </w:r>
          </w:p>
        </w:tc>
      </w:tr>
      <w:tr w14:paraId="0360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34" w:type="dxa"/>
            <w:vMerge w:val="restart"/>
            <w:vAlign w:val="center"/>
          </w:tcPr>
          <w:p w14:paraId="5DF552E9">
            <w:pPr>
              <w:keepNext w:val="0"/>
              <w:keepLines w:val="0"/>
              <w:pageBreakBefore w:val="0"/>
              <w:widowControl w:val="0"/>
              <w:kinsoku/>
              <w:wordWrap/>
              <w:overflowPunct/>
              <w:topLinePunct w:val="0"/>
              <w:autoSpaceDE/>
              <w:autoSpaceDN/>
              <w:bidi w:val="0"/>
              <w:spacing w:line="300" w:lineRule="auto"/>
              <w:ind w:left="0" w:leftChars="0" w:firstLine="0" w:firstLineChars="0"/>
              <w:jc w:val="center"/>
              <w:textAlignment w:val="auto"/>
              <w:rPr>
                <w:rFonts w:hint="eastAsia" w:ascii="宋体" w:hAnsi="宋体"/>
                <w:b/>
                <w:bCs/>
                <w:sz w:val="24"/>
                <w:szCs w:val="22"/>
                <w:vertAlign w:val="baseline"/>
                <w:lang w:val="en-US" w:eastAsia="zh-CN"/>
              </w:rPr>
            </w:pPr>
            <w:r>
              <w:rPr>
                <w:rFonts w:hint="eastAsia" w:ascii="宋体" w:hAnsi="宋体"/>
                <w:b/>
                <w:bCs/>
                <w:sz w:val="24"/>
                <w:szCs w:val="22"/>
                <w:vertAlign w:val="baseline"/>
                <w:lang w:val="en-US" w:eastAsia="zh-CN"/>
              </w:rPr>
              <w:t>奖</w:t>
            </w:r>
          </w:p>
          <w:p w14:paraId="56B15630">
            <w:pPr>
              <w:keepNext w:val="0"/>
              <w:keepLines w:val="0"/>
              <w:pageBreakBefore w:val="0"/>
              <w:widowControl w:val="0"/>
              <w:kinsoku/>
              <w:wordWrap/>
              <w:overflowPunct/>
              <w:topLinePunct w:val="0"/>
              <w:autoSpaceDE/>
              <w:autoSpaceDN/>
              <w:bidi w:val="0"/>
              <w:spacing w:line="300" w:lineRule="auto"/>
              <w:ind w:left="0" w:leftChars="0" w:firstLine="0" w:firstLineChars="0"/>
              <w:jc w:val="center"/>
              <w:textAlignment w:val="auto"/>
              <w:rPr>
                <w:rFonts w:hint="eastAsia" w:ascii="宋体" w:hAnsi="宋体"/>
                <w:b/>
                <w:bCs/>
                <w:sz w:val="24"/>
                <w:szCs w:val="22"/>
                <w:vertAlign w:val="baseline"/>
                <w:lang w:val="en-US" w:eastAsia="zh-CN"/>
              </w:rPr>
            </w:pPr>
            <w:r>
              <w:rPr>
                <w:rFonts w:hint="eastAsia" w:ascii="宋体" w:hAnsi="宋体"/>
                <w:b/>
                <w:bCs/>
                <w:sz w:val="24"/>
                <w:szCs w:val="22"/>
                <w:vertAlign w:val="baseline"/>
                <w:lang w:val="en-US" w:eastAsia="zh-CN"/>
              </w:rPr>
              <w:t>学</w:t>
            </w:r>
          </w:p>
          <w:p w14:paraId="1EBBDE32">
            <w:pPr>
              <w:keepNext w:val="0"/>
              <w:keepLines w:val="0"/>
              <w:pageBreakBefore w:val="0"/>
              <w:widowControl w:val="0"/>
              <w:kinsoku/>
              <w:wordWrap/>
              <w:overflowPunct/>
              <w:topLinePunct w:val="0"/>
              <w:autoSpaceDE/>
              <w:autoSpaceDN/>
              <w:bidi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b/>
                <w:bCs/>
                <w:sz w:val="24"/>
                <w:szCs w:val="22"/>
                <w:vertAlign w:val="baseline"/>
                <w:lang w:val="en-US" w:eastAsia="zh-CN"/>
              </w:rPr>
              <w:t>金</w:t>
            </w:r>
          </w:p>
        </w:tc>
        <w:tc>
          <w:tcPr>
            <w:tcW w:w="1666" w:type="dxa"/>
            <w:vMerge w:val="restart"/>
            <w:vAlign w:val="center"/>
          </w:tcPr>
          <w:p w14:paraId="139DC5F1">
            <w:pPr>
              <w:keepNext w:val="0"/>
              <w:keepLines w:val="0"/>
              <w:pageBreakBefore w:val="0"/>
              <w:widowControl w:val="0"/>
              <w:kinsoku/>
              <w:wordWrap/>
              <w:overflowPunct/>
              <w:topLinePunct w:val="0"/>
              <w:autoSpaceDE/>
              <w:autoSpaceDN/>
              <w:bidi w:val="0"/>
              <w:spacing w:line="300" w:lineRule="auto"/>
              <w:ind w:left="0" w:leftChars="0" w:firstLine="0" w:firstLineChars="0"/>
              <w:textAlignment w:val="auto"/>
              <w:rPr>
                <w:rFonts w:hint="default" w:ascii="宋体" w:hAnsi="宋体"/>
                <w:sz w:val="24"/>
                <w:vertAlign w:val="baseline"/>
                <w:lang w:val="en-US" w:eastAsia="zh-CN"/>
              </w:rPr>
            </w:pPr>
            <w:r>
              <w:rPr>
                <w:rFonts w:hint="eastAsia" w:ascii="宋体" w:hAnsi="宋体" w:eastAsia="宋体" w:cs="宋体"/>
                <w:b/>
                <w:szCs w:val="21"/>
              </w:rPr>
              <w:t>土木工程学院</w:t>
            </w:r>
          </w:p>
        </w:tc>
        <w:tc>
          <w:tcPr>
            <w:tcW w:w="1637" w:type="dxa"/>
            <w:vAlign w:val="center"/>
          </w:tcPr>
          <w:p w14:paraId="7DDAAA81">
            <w:pPr>
              <w:keepNext w:val="0"/>
              <w:keepLines w:val="0"/>
              <w:pageBreakBefore w:val="0"/>
              <w:widowControl w:val="0"/>
              <w:kinsoku/>
              <w:wordWrap/>
              <w:overflowPunct/>
              <w:topLinePunct w:val="0"/>
              <w:autoSpaceDE/>
              <w:autoSpaceDN/>
              <w:bidi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eastAsia="宋体" w:cs="宋体"/>
                <w:szCs w:val="21"/>
              </w:rPr>
              <w:t>博士研究生</w:t>
            </w:r>
          </w:p>
        </w:tc>
        <w:tc>
          <w:tcPr>
            <w:tcW w:w="848" w:type="dxa"/>
            <w:vAlign w:val="center"/>
          </w:tcPr>
          <w:p w14:paraId="3CF33D3B">
            <w:pPr>
              <w:ind w:left="0" w:lef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4</w:t>
            </w:r>
          </w:p>
        </w:tc>
        <w:tc>
          <w:tcPr>
            <w:tcW w:w="1842" w:type="dxa"/>
            <w:vAlign w:val="center"/>
          </w:tcPr>
          <w:p w14:paraId="5A666341">
            <w:pPr>
              <w:rPr>
                <w:rFonts w:hint="eastAsia" w:ascii="宋体" w:hAnsi="宋体" w:eastAsia="宋体" w:cs="宋体"/>
                <w:lang w:val="en-US" w:eastAsia="zh-CN"/>
              </w:rPr>
            </w:pPr>
            <w:r>
              <w:rPr>
                <w:rFonts w:hint="eastAsia" w:ascii="宋体" w:hAnsi="宋体" w:eastAsia="宋体" w:cs="宋体"/>
                <w:lang w:val="en-US" w:eastAsia="zh-CN"/>
              </w:rPr>
              <w:t>8000</w:t>
            </w:r>
          </w:p>
        </w:tc>
        <w:tc>
          <w:tcPr>
            <w:tcW w:w="1695" w:type="dxa"/>
            <w:vAlign w:val="center"/>
          </w:tcPr>
          <w:p w14:paraId="2466665E">
            <w:pPr>
              <w:rPr>
                <w:rFonts w:hint="eastAsia" w:ascii="宋体" w:hAnsi="宋体" w:eastAsia="宋体" w:cs="宋体"/>
                <w:lang w:val="en-US" w:eastAsia="zh-CN"/>
              </w:rPr>
            </w:pPr>
            <w:r>
              <w:rPr>
                <w:rFonts w:hint="eastAsia" w:ascii="宋体" w:hAnsi="宋体" w:eastAsia="宋体" w:cs="宋体"/>
                <w:lang w:val="en-US" w:eastAsia="zh-CN"/>
              </w:rPr>
              <w:t>32000</w:t>
            </w:r>
          </w:p>
        </w:tc>
      </w:tr>
      <w:tr w14:paraId="5C60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Merge w:val="continue"/>
            <w:vAlign w:val="center"/>
          </w:tcPr>
          <w:p w14:paraId="3877052E">
            <w:pPr>
              <w:keepNext w:val="0"/>
              <w:keepLines w:val="0"/>
              <w:pageBreakBefore w:val="0"/>
              <w:widowControl w:val="0"/>
              <w:kinsoku/>
              <w:wordWrap/>
              <w:overflowPunct/>
              <w:topLinePunct w:val="0"/>
              <w:autoSpaceDE/>
              <w:autoSpaceDN/>
              <w:bidi w:val="0"/>
              <w:spacing w:line="300" w:lineRule="auto"/>
              <w:textAlignment w:val="auto"/>
              <w:rPr>
                <w:rFonts w:hint="default" w:ascii="宋体" w:hAnsi="宋体"/>
                <w:sz w:val="24"/>
                <w:vertAlign w:val="baseline"/>
                <w:lang w:val="en-US" w:eastAsia="zh-CN"/>
              </w:rPr>
            </w:pPr>
          </w:p>
        </w:tc>
        <w:tc>
          <w:tcPr>
            <w:tcW w:w="1666" w:type="dxa"/>
            <w:vMerge w:val="continue"/>
            <w:vAlign w:val="center"/>
          </w:tcPr>
          <w:p w14:paraId="1CA151A5">
            <w:pPr>
              <w:keepNext w:val="0"/>
              <w:keepLines w:val="0"/>
              <w:pageBreakBefore w:val="0"/>
              <w:widowControl w:val="0"/>
              <w:kinsoku/>
              <w:wordWrap/>
              <w:overflowPunct/>
              <w:topLinePunct w:val="0"/>
              <w:autoSpaceDE/>
              <w:autoSpaceDN/>
              <w:bidi w:val="0"/>
              <w:spacing w:line="300" w:lineRule="auto"/>
              <w:textAlignment w:val="auto"/>
              <w:rPr>
                <w:rFonts w:hint="default" w:ascii="宋体" w:hAnsi="宋体"/>
                <w:sz w:val="24"/>
                <w:vertAlign w:val="baseline"/>
                <w:lang w:val="en-US" w:eastAsia="zh-CN"/>
              </w:rPr>
            </w:pPr>
          </w:p>
        </w:tc>
        <w:tc>
          <w:tcPr>
            <w:tcW w:w="1637" w:type="dxa"/>
            <w:vAlign w:val="center"/>
          </w:tcPr>
          <w:p w14:paraId="52851969">
            <w:pPr>
              <w:keepNext w:val="0"/>
              <w:keepLines w:val="0"/>
              <w:pageBreakBefore w:val="0"/>
              <w:widowControl w:val="0"/>
              <w:kinsoku/>
              <w:wordWrap/>
              <w:overflowPunct/>
              <w:topLinePunct w:val="0"/>
              <w:autoSpaceDE/>
              <w:autoSpaceDN/>
              <w:bidi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eastAsia="宋体" w:cs="宋体"/>
                <w:szCs w:val="21"/>
                <w:lang w:val="en-US" w:eastAsia="zh-CN"/>
              </w:rPr>
              <w:t>硕士研究生</w:t>
            </w:r>
          </w:p>
        </w:tc>
        <w:tc>
          <w:tcPr>
            <w:tcW w:w="848" w:type="dxa"/>
            <w:vAlign w:val="center"/>
          </w:tcPr>
          <w:p w14:paraId="67AAD8F7">
            <w:pPr>
              <w:ind w:left="0" w:lef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4</w:t>
            </w:r>
          </w:p>
        </w:tc>
        <w:tc>
          <w:tcPr>
            <w:tcW w:w="1842" w:type="dxa"/>
            <w:vAlign w:val="center"/>
          </w:tcPr>
          <w:p w14:paraId="441DB4C8">
            <w:pPr>
              <w:rPr>
                <w:rFonts w:hint="eastAsia" w:ascii="宋体" w:hAnsi="宋体" w:eastAsia="宋体" w:cs="宋体"/>
                <w:lang w:val="en-US" w:eastAsia="zh-CN"/>
              </w:rPr>
            </w:pPr>
            <w:r>
              <w:rPr>
                <w:rFonts w:hint="eastAsia" w:ascii="宋体" w:hAnsi="宋体" w:eastAsia="宋体" w:cs="宋体"/>
                <w:lang w:val="en-US" w:eastAsia="zh-CN"/>
              </w:rPr>
              <w:t>6000</w:t>
            </w:r>
          </w:p>
        </w:tc>
        <w:tc>
          <w:tcPr>
            <w:tcW w:w="1695" w:type="dxa"/>
            <w:vAlign w:val="center"/>
          </w:tcPr>
          <w:p w14:paraId="49BABBCF">
            <w:pPr>
              <w:rPr>
                <w:rFonts w:hint="eastAsia" w:ascii="宋体" w:hAnsi="宋体" w:eastAsia="宋体" w:cs="宋体"/>
                <w:lang w:val="en-US" w:eastAsia="zh-CN"/>
              </w:rPr>
            </w:pPr>
            <w:r>
              <w:rPr>
                <w:rFonts w:hint="eastAsia" w:ascii="宋体" w:hAnsi="宋体" w:eastAsia="宋体" w:cs="宋体"/>
                <w:lang w:val="en-US" w:eastAsia="zh-CN"/>
              </w:rPr>
              <w:t>24000</w:t>
            </w:r>
          </w:p>
        </w:tc>
      </w:tr>
      <w:tr w14:paraId="3AA4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Merge w:val="continue"/>
            <w:vAlign w:val="center"/>
          </w:tcPr>
          <w:p w14:paraId="47A7211E">
            <w:pPr>
              <w:keepNext w:val="0"/>
              <w:keepLines w:val="0"/>
              <w:pageBreakBefore w:val="0"/>
              <w:widowControl w:val="0"/>
              <w:kinsoku/>
              <w:wordWrap/>
              <w:overflowPunct/>
              <w:topLinePunct w:val="0"/>
              <w:autoSpaceDE/>
              <w:autoSpaceDN/>
              <w:bidi w:val="0"/>
              <w:spacing w:line="300" w:lineRule="auto"/>
              <w:textAlignment w:val="auto"/>
              <w:rPr>
                <w:rFonts w:hint="default" w:ascii="宋体" w:hAnsi="宋体"/>
                <w:sz w:val="24"/>
                <w:vertAlign w:val="baseline"/>
                <w:lang w:val="en-US" w:eastAsia="zh-CN"/>
              </w:rPr>
            </w:pPr>
          </w:p>
        </w:tc>
        <w:tc>
          <w:tcPr>
            <w:tcW w:w="1666" w:type="dxa"/>
            <w:vMerge w:val="continue"/>
            <w:vAlign w:val="center"/>
          </w:tcPr>
          <w:p w14:paraId="71C39E02">
            <w:pPr>
              <w:keepNext w:val="0"/>
              <w:keepLines w:val="0"/>
              <w:pageBreakBefore w:val="0"/>
              <w:widowControl w:val="0"/>
              <w:kinsoku/>
              <w:wordWrap/>
              <w:overflowPunct/>
              <w:topLinePunct w:val="0"/>
              <w:autoSpaceDE/>
              <w:autoSpaceDN/>
              <w:bidi w:val="0"/>
              <w:spacing w:line="300" w:lineRule="auto"/>
              <w:textAlignment w:val="auto"/>
              <w:rPr>
                <w:rFonts w:hint="default" w:ascii="宋体" w:hAnsi="宋体"/>
                <w:sz w:val="24"/>
                <w:vertAlign w:val="baseline"/>
                <w:lang w:val="en-US" w:eastAsia="zh-CN"/>
              </w:rPr>
            </w:pPr>
          </w:p>
        </w:tc>
        <w:tc>
          <w:tcPr>
            <w:tcW w:w="1637" w:type="dxa"/>
            <w:vAlign w:val="center"/>
          </w:tcPr>
          <w:p w14:paraId="53A6022D">
            <w:pPr>
              <w:keepNext w:val="0"/>
              <w:keepLines w:val="0"/>
              <w:pageBreakBefore w:val="0"/>
              <w:widowControl w:val="0"/>
              <w:kinsoku/>
              <w:wordWrap/>
              <w:overflowPunct/>
              <w:topLinePunct w:val="0"/>
              <w:autoSpaceDE/>
              <w:autoSpaceDN/>
              <w:bidi w:val="0"/>
              <w:spacing w:line="300" w:lineRule="auto"/>
              <w:ind w:left="0" w:leftChars="0" w:firstLine="0" w:firstLineChars="0"/>
              <w:jc w:val="center"/>
              <w:textAlignment w:val="auto"/>
              <w:rPr>
                <w:rFonts w:hint="default" w:ascii="宋体" w:hAnsi="宋体"/>
                <w:sz w:val="24"/>
                <w:vertAlign w:val="baseline"/>
                <w:lang w:val="en-US" w:eastAsia="zh-CN"/>
              </w:rPr>
            </w:pPr>
            <w:r>
              <w:rPr>
                <w:rFonts w:hint="eastAsia" w:ascii="宋体" w:hAnsi="宋体" w:eastAsia="宋体" w:cs="宋体"/>
                <w:szCs w:val="21"/>
                <w:lang w:val="en-US" w:eastAsia="zh-CN"/>
              </w:rPr>
              <w:t>本科生</w:t>
            </w:r>
          </w:p>
        </w:tc>
        <w:tc>
          <w:tcPr>
            <w:tcW w:w="848" w:type="dxa"/>
            <w:vAlign w:val="center"/>
          </w:tcPr>
          <w:p w14:paraId="4FDA4238">
            <w:pPr>
              <w:ind w:left="0" w:lef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4</w:t>
            </w:r>
          </w:p>
        </w:tc>
        <w:tc>
          <w:tcPr>
            <w:tcW w:w="1842" w:type="dxa"/>
            <w:vAlign w:val="center"/>
          </w:tcPr>
          <w:p w14:paraId="0BBE219C">
            <w:pPr>
              <w:rPr>
                <w:rFonts w:hint="eastAsia" w:ascii="宋体" w:hAnsi="宋体" w:eastAsia="宋体" w:cs="宋体"/>
                <w:lang w:val="en-US" w:eastAsia="zh-CN"/>
              </w:rPr>
            </w:pPr>
            <w:r>
              <w:rPr>
                <w:rFonts w:hint="eastAsia" w:ascii="宋体" w:hAnsi="宋体" w:eastAsia="宋体" w:cs="宋体"/>
                <w:lang w:val="en-US" w:eastAsia="zh-CN"/>
              </w:rPr>
              <w:t>4000</w:t>
            </w:r>
          </w:p>
        </w:tc>
        <w:tc>
          <w:tcPr>
            <w:tcW w:w="1695" w:type="dxa"/>
            <w:vAlign w:val="center"/>
          </w:tcPr>
          <w:p w14:paraId="3638101A">
            <w:pPr>
              <w:rPr>
                <w:rFonts w:hint="eastAsia" w:ascii="宋体" w:hAnsi="宋体" w:eastAsia="宋体" w:cs="宋体"/>
                <w:lang w:val="en-US" w:eastAsia="zh-CN"/>
              </w:rPr>
            </w:pPr>
            <w:r>
              <w:rPr>
                <w:rFonts w:hint="eastAsia" w:ascii="宋体" w:hAnsi="宋体" w:eastAsia="宋体" w:cs="宋体"/>
                <w:lang w:val="en-US" w:eastAsia="zh-CN"/>
              </w:rPr>
              <w:t>16000</w:t>
            </w:r>
          </w:p>
        </w:tc>
      </w:tr>
      <w:tr w14:paraId="738F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Merge w:val="continue"/>
            <w:vAlign w:val="center"/>
          </w:tcPr>
          <w:p w14:paraId="7B6B271F">
            <w:pPr>
              <w:keepNext w:val="0"/>
              <w:keepLines w:val="0"/>
              <w:pageBreakBefore w:val="0"/>
              <w:widowControl w:val="0"/>
              <w:kinsoku/>
              <w:wordWrap/>
              <w:overflowPunct/>
              <w:topLinePunct w:val="0"/>
              <w:autoSpaceDE/>
              <w:autoSpaceDN/>
              <w:bidi w:val="0"/>
              <w:spacing w:line="300" w:lineRule="auto"/>
              <w:textAlignment w:val="auto"/>
              <w:rPr>
                <w:rFonts w:hint="default" w:ascii="宋体" w:hAnsi="宋体"/>
                <w:sz w:val="24"/>
                <w:vertAlign w:val="baseline"/>
                <w:lang w:val="en-US" w:eastAsia="zh-CN"/>
              </w:rPr>
            </w:pPr>
          </w:p>
        </w:tc>
        <w:tc>
          <w:tcPr>
            <w:tcW w:w="1666" w:type="dxa"/>
            <w:vAlign w:val="center"/>
          </w:tcPr>
          <w:p w14:paraId="56C2D461">
            <w:pPr>
              <w:keepNext w:val="0"/>
              <w:keepLines w:val="0"/>
              <w:pageBreakBefore w:val="0"/>
              <w:widowControl w:val="0"/>
              <w:kinsoku/>
              <w:wordWrap/>
              <w:overflowPunct/>
              <w:topLinePunct w:val="0"/>
              <w:autoSpaceDE/>
              <w:autoSpaceDN/>
              <w:bidi w:val="0"/>
              <w:spacing w:line="300" w:lineRule="auto"/>
              <w:ind w:left="0" w:leftChars="0" w:firstLine="0" w:firstLineChars="0"/>
              <w:textAlignment w:val="auto"/>
              <w:rPr>
                <w:rFonts w:hint="default" w:ascii="宋体" w:hAnsi="宋体"/>
                <w:sz w:val="24"/>
                <w:vertAlign w:val="baseline"/>
                <w:lang w:val="en-US" w:eastAsia="zh-CN"/>
              </w:rPr>
            </w:pPr>
            <w:r>
              <w:rPr>
                <w:rFonts w:hint="eastAsia" w:ascii="宋体" w:hAnsi="宋体" w:eastAsia="宋体" w:cs="宋体"/>
                <w:b/>
                <w:szCs w:val="21"/>
              </w:rPr>
              <w:t>利兹学院</w:t>
            </w:r>
          </w:p>
        </w:tc>
        <w:tc>
          <w:tcPr>
            <w:tcW w:w="1637" w:type="dxa"/>
            <w:vAlign w:val="center"/>
          </w:tcPr>
          <w:p w14:paraId="1461F823">
            <w:pPr>
              <w:keepNext w:val="0"/>
              <w:keepLines w:val="0"/>
              <w:pageBreakBefore w:val="0"/>
              <w:widowControl w:val="0"/>
              <w:kinsoku/>
              <w:wordWrap/>
              <w:overflowPunct/>
              <w:topLinePunct w:val="0"/>
              <w:autoSpaceDE/>
              <w:autoSpaceDN/>
              <w:bidi w:val="0"/>
              <w:adjustRightInd w:val="0"/>
              <w:snapToGrid w:val="0"/>
              <w:spacing w:line="300" w:lineRule="auto"/>
              <w:ind w:firstLine="34" w:firstLineChars="0"/>
              <w:jc w:val="center"/>
              <w:textAlignment w:val="auto"/>
              <w:rPr>
                <w:rFonts w:hint="default" w:ascii="宋体" w:hAnsi="宋体"/>
                <w:sz w:val="24"/>
                <w:vertAlign w:val="baseline"/>
                <w:lang w:val="en-US" w:eastAsia="zh-CN"/>
              </w:rPr>
            </w:pPr>
            <w:r>
              <w:rPr>
                <w:rFonts w:hint="eastAsia" w:ascii="宋体" w:hAnsi="宋体" w:eastAsia="宋体" w:cs="宋体"/>
                <w:szCs w:val="21"/>
                <w:lang w:val="en-US" w:eastAsia="zh-CN"/>
              </w:rPr>
              <w:t>本科生</w:t>
            </w:r>
            <w:r>
              <w:rPr>
                <w:rFonts w:hint="eastAsia" w:ascii="宋体" w:hAnsi="宋体" w:cs="宋体"/>
                <w:sz w:val="16"/>
                <w:szCs w:val="13"/>
                <w:lang w:val="en-US" w:eastAsia="zh-CN"/>
              </w:rPr>
              <w:t>（</w:t>
            </w:r>
            <w:r>
              <w:rPr>
                <w:rFonts w:hint="eastAsia" w:ascii="宋体" w:hAnsi="宋体" w:eastAsia="宋体" w:cs="宋体"/>
                <w:sz w:val="16"/>
                <w:szCs w:val="13"/>
                <w:lang w:val="en-US" w:eastAsia="zh-CN"/>
              </w:rPr>
              <w:t>土木工程、</w:t>
            </w:r>
            <w:r>
              <w:rPr>
                <w:rFonts w:hint="eastAsia" w:ascii="宋体" w:hAnsi="宋体" w:cs="宋体"/>
                <w:sz w:val="16"/>
                <w:szCs w:val="13"/>
                <w:lang w:val="en-US" w:eastAsia="zh-CN"/>
              </w:rPr>
              <w:t>机械设计制造及其自动化专业）</w:t>
            </w:r>
          </w:p>
        </w:tc>
        <w:tc>
          <w:tcPr>
            <w:tcW w:w="848" w:type="dxa"/>
            <w:vAlign w:val="center"/>
          </w:tcPr>
          <w:p w14:paraId="56EF5727">
            <w:pPr>
              <w:ind w:left="0" w:lef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w:t>
            </w:r>
          </w:p>
        </w:tc>
        <w:tc>
          <w:tcPr>
            <w:tcW w:w="1842" w:type="dxa"/>
            <w:vAlign w:val="center"/>
          </w:tcPr>
          <w:p w14:paraId="3CD50644">
            <w:pPr>
              <w:rPr>
                <w:rFonts w:hint="eastAsia" w:ascii="宋体" w:hAnsi="宋体" w:eastAsia="宋体" w:cs="宋体"/>
                <w:lang w:val="en-US" w:eastAsia="zh-CN"/>
              </w:rPr>
            </w:pPr>
            <w:r>
              <w:rPr>
                <w:rFonts w:hint="eastAsia" w:ascii="宋体" w:hAnsi="宋体" w:eastAsia="宋体" w:cs="宋体"/>
                <w:lang w:val="en-US" w:eastAsia="zh-CN"/>
              </w:rPr>
              <w:t>4000</w:t>
            </w:r>
          </w:p>
        </w:tc>
        <w:tc>
          <w:tcPr>
            <w:tcW w:w="1695" w:type="dxa"/>
            <w:vAlign w:val="center"/>
          </w:tcPr>
          <w:p w14:paraId="2D5689BD">
            <w:pPr>
              <w:rPr>
                <w:rFonts w:hint="eastAsia" w:ascii="宋体" w:hAnsi="宋体" w:eastAsia="宋体" w:cs="宋体"/>
                <w:lang w:val="en-US" w:eastAsia="zh-CN"/>
              </w:rPr>
            </w:pPr>
            <w:r>
              <w:rPr>
                <w:rFonts w:hint="eastAsia" w:ascii="宋体" w:hAnsi="宋体" w:eastAsia="宋体" w:cs="宋体"/>
                <w:lang w:val="en-US" w:eastAsia="zh-CN"/>
              </w:rPr>
              <w:t>16000</w:t>
            </w:r>
          </w:p>
        </w:tc>
      </w:tr>
      <w:tr w14:paraId="0358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Merge w:val="continue"/>
            <w:vAlign w:val="center"/>
          </w:tcPr>
          <w:p w14:paraId="6F979484">
            <w:pPr>
              <w:keepNext w:val="0"/>
              <w:keepLines w:val="0"/>
              <w:pageBreakBefore w:val="0"/>
              <w:widowControl w:val="0"/>
              <w:kinsoku/>
              <w:wordWrap/>
              <w:overflowPunct/>
              <w:topLinePunct w:val="0"/>
              <w:autoSpaceDE/>
              <w:autoSpaceDN/>
              <w:bidi w:val="0"/>
              <w:spacing w:line="300" w:lineRule="auto"/>
              <w:textAlignment w:val="auto"/>
              <w:rPr>
                <w:rFonts w:hint="default" w:ascii="宋体" w:hAnsi="宋体"/>
                <w:sz w:val="24"/>
                <w:vertAlign w:val="baseline"/>
                <w:lang w:val="en-US" w:eastAsia="zh-CN"/>
              </w:rPr>
            </w:pPr>
          </w:p>
        </w:tc>
        <w:tc>
          <w:tcPr>
            <w:tcW w:w="1666" w:type="dxa"/>
            <w:vAlign w:val="center"/>
          </w:tcPr>
          <w:p w14:paraId="3309B818">
            <w:pPr>
              <w:keepNext w:val="0"/>
              <w:keepLines w:val="0"/>
              <w:pageBreakBefore w:val="0"/>
              <w:widowControl w:val="0"/>
              <w:kinsoku/>
              <w:wordWrap/>
              <w:overflowPunct/>
              <w:topLinePunct w:val="0"/>
              <w:autoSpaceDE/>
              <w:autoSpaceDN/>
              <w:bidi w:val="0"/>
              <w:spacing w:line="300" w:lineRule="auto"/>
              <w:ind w:left="0" w:leftChars="0" w:firstLine="0" w:firstLineChars="0"/>
              <w:textAlignment w:val="auto"/>
              <w:rPr>
                <w:rFonts w:hint="default" w:ascii="宋体" w:hAnsi="宋体"/>
                <w:sz w:val="24"/>
                <w:vertAlign w:val="baseline"/>
                <w:lang w:val="en-US" w:eastAsia="zh-CN"/>
              </w:rPr>
            </w:pPr>
            <w:r>
              <w:rPr>
                <w:rFonts w:hint="eastAsia" w:ascii="宋体" w:hAnsi="宋体" w:cs="宋体"/>
                <w:b/>
                <w:sz w:val="21"/>
                <w:szCs w:val="21"/>
                <w:lang w:val="en-US" w:eastAsia="zh-CN"/>
              </w:rPr>
              <w:t>智慧城市与交通学院</w:t>
            </w:r>
          </w:p>
        </w:tc>
        <w:tc>
          <w:tcPr>
            <w:tcW w:w="1637" w:type="dxa"/>
            <w:vAlign w:val="center"/>
          </w:tcPr>
          <w:p w14:paraId="7AEDD40B">
            <w:pPr>
              <w:keepNext w:val="0"/>
              <w:keepLines w:val="0"/>
              <w:pageBreakBefore w:val="0"/>
              <w:widowControl w:val="0"/>
              <w:kinsoku/>
              <w:wordWrap/>
              <w:overflowPunct/>
              <w:topLinePunct w:val="0"/>
              <w:autoSpaceDE/>
              <w:autoSpaceDN/>
              <w:bidi w:val="0"/>
              <w:adjustRightInd w:val="0"/>
              <w:snapToGrid w:val="0"/>
              <w:spacing w:line="300" w:lineRule="auto"/>
              <w:ind w:firstLine="34" w:firstLineChars="0"/>
              <w:jc w:val="center"/>
              <w:textAlignment w:val="auto"/>
              <w:rPr>
                <w:rFonts w:hint="default" w:ascii="宋体" w:hAnsi="宋体"/>
                <w:sz w:val="24"/>
                <w:vertAlign w:val="baseline"/>
                <w:lang w:val="en-US" w:eastAsia="zh-CN"/>
              </w:rPr>
            </w:pPr>
            <w:r>
              <w:rPr>
                <w:rFonts w:hint="eastAsia" w:ascii="宋体" w:hAnsi="宋体" w:eastAsia="宋体" w:cs="宋体"/>
                <w:szCs w:val="21"/>
                <w:lang w:val="en-US" w:eastAsia="zh-CN"/>
              </w:rPr>
              <w:t>本科生</w:t>
            </w:r>
            <w:r>
              <w:rPr>
                <w:rFonts w:hint="eastAsia" w:ascii="宋体" w:hAnsi="宋体" w:eastAsia="宋体" w:cs="宋体"/>
                <w:sz w:val="16"/>
                <w:szCs w:val="13"/>
                <w:lang w:val="en-US" w:eastAsia="zh-CN"/>
              </w:rPr>
              <w:t>（智能建造</w:t>
            </w:r>
            <w:r>
              <w:rPr>
                <w:rFonts w:hint="eastAsia" w:ascii="宋体" w:hAnsi="宋体" w:cs="宋体"/>
                <w:sz w:val="16"/>
                <w:szCs w:val="13"/>
                <w:lang w:val="en-US" w:eastAsia="zh-CN"/>
              </w:rPr>
              <w:t>、</w:t>
            </w:r>
            <w:r>
              <w:rPr>
                <w:rFonts w:hint="eastAsia" w:ascii="宋体" w:hAnsi="宋体" w:eastAsia="宋体" w:cs="宋体"/>
                <w:sz w:val="16"/>
                <w:szCs w:val="13"/>
                <w:lang w:val="en-US" w:eastAsia="zh-CN"/>
              </w:rPr>
              <w:t>智能制造工程专业</w:t>
            </w:r>
            <w:r>
              <w:rPr>
                <w:rFonts w:hint="eastAsia" w:ascii="宋体" w:hAnsi="宋体" w:cs="宋体"/>
                <w:sz w:val="16"/>
                <w:szCs w:val="13"/>
                <w:lang w:val="en-US" w:eastAsia="zh-CN"/>
              </w:rPr>
              <w:t>）</w:t>
            </w:r>
          </w:p>
        </w:tc>
        <w:tc>
          <w:tcPr>
            <w:tcW w:w="848" w:type="dxa"/>
            <w:vAlign w:val="center"/>
          </w:tcPr>
          <w:p w14:paraId="255327F6">
            <w:pPr>
              <w:ind w:left="0" w:lef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w:t>
            </w:r>
          </w:p>
        </w:tc>
        <w:tc>
          <w:tcPr>
            <w:tcW w:w="1842" w:type="dxa"/>
            <w:vAlign w:val="center"/>
          </w:tcPr>
          <w:p w14:paraId="0EDF0FB0">
            <w:pPr>
              <w:rPr>
                <w:rFonts w:hint="eastAsia" w:ascii="宋体" w:hAnsi="宋体" w:eastAsia="宋体" w:cs="宋体"/>
                <w:lang w:val="en-US" w:eastAsia="zh-CN"/>
              </w:rPr>
            </w:pPr>
            <w:r>
              <w:rPr>
                <w:rFonts w:hint="eastAsia" w:ascii="宋体" w:hAnsi="宋体" w:eastAsia="宋体" w:cs="宋体"/>
                <w:lang w:val="en-US" w:eastAsia="zh-CN"/>
              </w:rPr>
              <w:t>4000</w:t>
            </w:r>
          </w:p>
        </w:tc>
        <w:tc>
          <w:tcPr>
            <w:tcW w:w="1695" w:type="dxa"/>
            <w:vAlign w:val="center"/>
          </w:tcPr>
          <w:p w14:paraId="3A23C425">
            <w:pPr>
              <w:rPr>
                <w:rFonts w:hint="eastAsia" w:ascii="宋体" w:hAnsi="宋体" w:eastAsia="宋体" w:cs="宋体"/>
                <w:lang w:val="en-US" w:eastAsia="zh-CN"/>
              </w:rPr>
            </w:pPr>
            <w:r>
              <w:rPr>
                <w:rFonts w:hint="eastAsia" w:ascii="宋体" w:hAnsi="宋体" w:eastAsia="宋体" w:cs="宋体"/>
                <w:lang w:val="en-US" w:eastAsia="zh-CN"/>
              </w:rPr>
              <w:t>16000</w:t>
            </w:r>
          </w:p>
        </w:tc>
      </w:tr>
      <w:tr w14:paraId="2171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dxa"/>
            <w:gridSpan w:val="2"/>
            <w:vAlign w:val="center"/>
          </w:tcPr>
          <w:p w14:paraId="1A2F7664">
            <w:pPr>
              <w:keepNext w:val="0"/>
              <w:keepLines w:val="0"/>
              <w:pageBreakBefore w:val="0"/>
              <w:widowControl w:val="0"/>
              <w:kinsoku/>
              <w:wordWrap/>
              <w:overflowPunct/>
              <w:topLinePunct w:val="0"/>
              <w:autoSpaceDE/>
              <w:autoSpaceDN/>
              <w:bidi w:val="0"/>
              <w:spacing w:line="300" w:lineRule="auto"/>
              <w:jc w:val="center"/>
              <w:textAlignment w:val="auto"/>
              <w:rPr>
                <w:rFonts w:hint="default" w:ascii="宋体" w:hAnsi="宋体"/>
                <w:b/>
                <w:bCs/>
                <w:sz w:val="24"/>
                <w:vertAlign w:val="baseline"/>
                <w:lang w:val="en-US" w:eastAsia="zh-CN"/>
              </w:rPr>
            </w:pPr>
            <w:r>
              <w:rPr>
                <w:rFonts w:hint="eastAsia" w:ascii="宋体" w:hAnsi="宋体" w:cs="宋体"/>
                <w:b/>
                <w:bCs/>
                <w:color w:val="auto"/>
                <w:szCs w:val="21"/>
                <w:lang w:val="en-US" w:eastAsia="zh-CN"/>
              </w:rPr>
              <w:t>项目执行费</w:t>
            </w:r>
          </w:p>
        </w:tc>
        <w:tc>
          <w:tcPr>
            <w:tcW w:w="1637" w:type="dxa"/>
            <w:vAlign w:val="center"/>
          </w:tcPr>
          <w:p w14:paraId="177227B6">
            <w:pPr>
              <w:keepNext w:val="0"/>
              <w:keepLines w:val="0"/>
              <w:pageBreakBefore w:val="0"/>
              <w:widowControl w:val="0"/>
              <w:kinsoku/>
              <w:wordWrap/>
              <w:overflowPunct/>
              <w:topLinePunct w:val="0"/>
              <w:autoSpaceDE/>
              <w:autoSpaceDN/>
              <w:bidi w:val="0"/>
              <w:spacing w:line="300" w:lineRule="auto"/>
              <w:textAlignment w:val="auto"/>
              <w:rPr>
                <w:rFonts w:hint="default" w:ascii="宋体" w:hAnsi="宋体"/>
                <w:sz w:val="24"/>
                <w:vertAlign w:val="baseline"/>
                <w:lang w:val="en-US" w:eastAsia="zh-CN"/>
              </w:rPr>
            </w:pPr>
          </w:p>
        </w:tc>
        <w:tc>
          <w:tcPr>
            <w:tcW w:w="848" w:type="dxa"/>
            <w:vAlign w:val="center"/>
          </w:tcPr>
          <w:p w14:paraId="3B898B61">
            <w:pPr>
              <w:rPr>
                <w:rFonts w:hint="eastAsia" w:ascii="宋体" w:hAnsi="宋体" w:eastAsia="宋体" w:cs="宋体"/>
                <w:lang w:val="en-US" w:eastAsia="zh-CN"/>
              </w:rPr>
            </w:pPr>
          </w:p>
        </w:tc>
        <w:tc>
          <w:tcPr>
            <w:tcW w:w="1842" w:type="dxa"/>
            <w:vAlign w:val="center"/>
          </w:tcPr>
          <w:p w14:paraId="2C00AE37">
            <w:pPr>
              <w:rPr>
                <w:rFonts w:hint="eastAsia" w:ascii="宋体" w:hAnsi="宋体" w:eastAsia="宋体" w:cs="宋体"/>
                <w:lang w:val="en-US" w:eastAsia="zh-CN"/>
              </w:rPr>
            </w:pPr>
          </w:p>
        </w:tc>
        <w:tc>
          <w:tcPr>
            <w:tcW w:w="1695" w:type="dxa"/>
            <w:vAlign w:val="center"/>
          </w:tcPr>
          <w:p w14:paraId="084E070A">
            <w:pPr>
              <w:rPr>
                <w:rFonts w:hint="eastAsia" w:ascii="宋体" w:hAnsi="宋体" w:eastAsia="宋体" w:cs="宋体"/>
                <w:lang w:val="en-US" w:eastAsia="zh-CN"/>
              </w:rPr>
            </w:pPr>
            <w:r>
              <w:rPr>
                <w:rFonts w:hint="eastAsia" w:ascii="宋体" w:hAnsi="宋体" w:eastAsia="宋体" w:cs="宋体"/>
                <w:lang w:val="en-US" w:eastAsia="zh-CN"/>
              </w:rPr>
              <w:t>4000</w:t>
            </w:r>
          </w:p>
        </w:tc>
      </w:tr>
      <w:tr w14:paraId="7AEF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dxa"/>
            <w:gridSpan w:val="2"/>
            <w:vAlign w:val="center"/>
          </w:tcPr>
          <w:p w14:paraId="354DFA9A">
            <w:pPr>
              <w:keepNext w:val="0"/>
              <w:keepLines w:val="0"/>
              <w:pageBreakBefore w:val="0"/>
              <w:widowControl w:val="0"/>
              <w:kinsoku/>
              <w:wordWrap/>
              <w:overflowPunct/>
              <w:topLinePunct w:val="0"/>
              <w:autoSpaceDE/>
              <w:autoSpaceDN/>
              <w:bidi w:val="0"/>
              <w:spacing w:line="300" w:lineRule="auto"/>
              <w:jc w:val="center"/>
              <w:textAlignment w:val="auto"/>
              <w:rPr>
                <w:rFonts w:hint="default" w:ascii="宋体" w:hAnsi="宋体"/>
                <w:b/>
                <w:bCs/>
                <w:sz w:val="24"/>
                <w:vertAlign w:val="baseline"/>
                <w:lang w:val="en-US" w:eastAsia="zh-CN"/>
              </w:rPr>
            </w:pPr>
            <w:r>
              <w:rPr>
                <w:rFonts w:hint="eastAsia" w:ascii="宋体" w:hAnsi="宋体"/>
                <w:b/>
                <w:bCs/>
                <w:sz w:val="24"/>
                <w:vertAlign w:val="baseline"/>
                <w:lang w:val="en-US" w:eastAsia="zh-CN"/>
              </w:rPr>
              <w:t>合计</w:t>
            </w:r>
          </w:p>
        </w:tc>
        <w:tc>
          <w:tcPr>
            <w:tcW w:w="1637" w:type="dxa"/>
            <w:vAlign w:val="center"/>
          </w:tcPr>
          <w:p w14:paraId="444BC5FF">
            <w:pPr>
              <w:keepNext w:val="0"/>
              <w:keepLines w:val="0"/>
              <w:pageBreakBefore w:val="0"/>
              <w:widowControl w:val="0"/>
              <w:kinsoku/>
              <w:wordWrap/>
              <w:overflowPunct/>
              <w:topLinePunct w:val="0"/>
              <w:autoSpaceDE/>
              <w:autoSpaceDN/>
              <w:bidi w:val="0"/>
              <w:spacing w:line="300" w:lineRule="auto"/>
              <w:textAlignment w:val="auto"/>
              <w:rPr>
                <w:rFonts w:hint="default" w:ascii="宋体" w:hAnsi="宋体"/>
                <w:sz w:val="24"/>
                <w:vertAlign w:val="baseline"/>
                <w:lang w:val="en-US" w:eastAsia="zh-CN"/>
              </w:rPr>
            </w:pPr>
          </w:p>
        </w:tc>
        <w:tc>
          <w:tcPr>
            <w:tcW w:w="848" w:type="dxa"/>
            <w:vAlign w:val="center"/>
          </w:tcPr>
          <w:p w14:paraId="12FB239A">
            <w:pPr>
              <w:rPr>
                <w:rFonts w:hint="eastAsia" w:ascii="宋体" w:hAnsi="宋体" w:eastAsia="宋体" w:cs="宋体"/>
                <w:lang w:val="en-US" w:eastAsia="zh-CN"/>
              </w:rPr>
            </w:pPr>
          </w:p>
        </w:tc>
        <w:tc>
          <w:tcPr>
            <w:tcW w:w="1842" w:type="dxa"/>
            <w:vAlign w:val="center"/>
          </w:tcPr>
          <w:p w14:paraId="67DE7E8D">
            <w:pPr>
              <w:rPr>
                <w:rFonts w:hint="eastAsia" w:ascii="宋体" w:hAnsi="宋体" w:eastAsia="宋体" w:cs="宋体"/>
                <w:lang w:val="en-US" w:eastAsia="zh-CN"/>
              </w:rPr>
            </w:pPr>
          </w:p>
        </w:tc>
        <w:tc>
          <w:tcPr>
            <w:tcW w:w="1695" w:type="dxa"/>
            <w:vAlign w:val="center"/>
          </w:tcPr>
          <w:p w14:paraId="2ABA5013">
            <w:pPr>
              <w:rPr>
                <w:rFonts w:hint="eastAsia" w:ascii="宋体" w:hAnsi="宋体" w:eastAsia="宋体" w:cs="宋体"/>
                <w:lang w:val="en-US" w:eastAsia="zh-CN"/>
              </w:rPr>
            </w:pPr>
            <w:r>
              <w:rPr>
                <w:rFonts w:hint="eastAsia" w:ascii="宋体" w:hAnsi="宋体" w:eastAsia="宋体" w:cs="宋体"/>
                <w:lang w:val="en-US" w:eastAsia="zh-CN"/>
              </w:rPr>
              <w:t>100000</w:t>
            </w:r>
          </w:p>
        </w:tc>
      </w:tr>
    </w:tbl>
    <w:p w14:paraId="11D7DB58">
      <w:pPr>
        <w:spacing w:line="420" w:lineRule="auto"/>
        <w:rPr>
          <w:rFonts w:hint="default" w:ascii="宋体" w:hAnsi="宋体"/>
          <w:sz w:val="24"/>
          <w:lang w:val="en-US" w:eastAsia="zh-CN"/>
        </w:rPr>
      </w:pPr>
    </w:p>
    <w:p w14:paraId="1ED431D2">
      <w:pPr>
        <w:spacing w:line="420" w:lineRule="auto"/>
        <w:rPr>
          <w:rFonts w:hint="default" w:ascii="宋体" w:hAnsi="宋体"/>
          <w:sz w:val="24"/>
          <w:lang w:val="en-US" w:eastAsia="zh-CN"/>
        </w:rPr>
      </w:pPr>
    </w:p>
    <w:p w14:paraId="32E0EC0B">
      <w:pPr>
        <w:spacing w:line="420" w:lineRule="auto"/>
        <w:rPr>
          <w:rFonts w:hint="default" w:ascii="宋体" w:hAnsi="宋体"/>
          <w:sz w:val="24"/>
          <w:lang w:val="en-US" w:eastAsia="zh-CN"/>
        </w:rPr>
      </w:pPr>
      <w:r>
        <w:rPr>
          <w:rFonts w:hint="default" w:ascii="宋体" w:hAnsi="宋体"/>
          <w:sz w:val="24"/>
          <w:lang w:val="en-US" w:eastAsia="zh-CN"/>
        </w:rPr>
        <w:t>捐赠资金分5年拨付，每年人民币10万元(壹拾万元整),包含项目执行费每年 4000 元整。项目执行费主要用于本协议捐赠项目执行过程中(如评奖颁奖</w:t>
      </w:r>
      <w:r>
        <w:rPr>
          <w:rFonts w:hint="eastAsia" w:ascii="宋体" w:hAnsi="宋体"/>
          <w:sz w:val="24"/>
          <w:lang w:val="en-US" w:eastAsia="zh-CN"/>
        </w:rPr>
        <w:t>等）的相关支出。</w:t>
      </w:r>
    </w:p>
    <w:p w14:paraId="6E284F82">
      <w:pPr>
        <w:spacing w:line="420" w:lineRule="auto"/>
        <w:rPr>
          <w:rFonts w:ascii="宋体" w:hAnsi="宋体"/>
          <w:b/>
          <w:sz w:val="24"/>
        </w:rPr>
      </w:pPr>
      <w:r>
        <w:rPr>
          <w:rFonts w:hint="eastAsia" w:ascii="宋体" w:hAnsi="宋体"/>
          <w:b/>
          <w:sz w:val="24"/>
        </w:rPr>
        <w:t>三、评选条件</w:t>
      </w:r>
    </w:p>
    <w:p w14:paraId="264E81D3">
      <w:pPr>
        <w:spacing w:line="420" w:lineRule="auto"/>
        <w:rPr>
          <w:rFonts w:ascii="宋体" w:hAnsi="宋体"/>
          <w:sz w:val="24"/>
        </w:rPr>
      </w:pPr>
      <w:r>
        <w:rPr>
          <w:rFonts w:hint="eastAsia" w:ascii="宋体" w:hAnsi="宋体"/>
          <w:sz w:val="24"/>
        </w:rPr>
        <w:t>1、热爱祖国，遵纪守法，诚实守信，品行端正，举止文明；</w:t>
      </w:r>
    </w:p>
    <w:p w14:paraId="78D7C4A6">
      <w:pPr>
        <w:spacing w:line="420" w:lineRule="auto"/>
        <w:rPr>
          <w:rFonts w:ascii="宋体" w:hAnsi="宋体"/>
          <w:sz w:val="24"/>
        </w:rPr>
      </w:pPr>
      <w:r>
        <w:rPr>
          <w:rFonts w:hint="eastAsia" w:ascii="宋体" w:hAnsi="宋体"/>
          <w:sz w:val="24"/>
        </w:rPr>
        <w:t>2、热爱所学专业，学习勤奋刻苦，成绩优秀，符合学校获取奖学金的条件:参评学年无不及格科目且综合素质评价成绩年级专业排名位于前</w:t>
      </w:r>
      <w:r>
        <w:rPr>
          <w:rFonts w:hint="eastAsia" w:ascii="宋体" w:hAnsi="宋体"/>
          <w:sz w:val="24"/>
          <w:lang w:val="en-US" w:eastAsia="zh-CN"/>
        </w:rPr>
        <w:t>10%（</w:t>
      </w:r>
      <w:r>
        <w:rPr>
          <w:rFonts w:hint="eastAsia" w:ascii="宋体" w:hAnsi="宋体"/>
          <w:sz w:val="24"/>
        </w:rPr>
        <w:t>含</w:t>
      </w:r>
      <w:r>
        <w:rPr>
          <w:rFonts w:hint="eastAsia" w:ascii="宋体" w:hAnsi="宋体"/>
          <w:sz w:val="24"/>
          <w:lang w:val="en-US" w:eastAsia="zh-CN"/>
        </w:rPr>
        <w:t>10%）</w:t>
      </w:r>
      <w:r>
        <w:rPr>
          <w:rFonts w:hint="eastAsia" w:ascii="宋体" w:hAnsi="宋体"/>
          <w:sz w:val="24"/>
        </w:rPr>
        <w:t>；</w:t>
      </w:r>
    </w:p>
    <w:p w14:paraId="15935B06">
      <w:pPr>
        <w:spacing w:line="420" w:lineRule="auto"/>
        <w:rPr>
          <w:rFonts w:ascii="宋体" w:hAnsi="宋体"/>
          <w:sz w:val="24"/>
        </w:rPr>
      </w:pPr>
      <w:r>
        <w:rPr>
          <w:rFonts w:hint="eastAsia" w:ascii="宋体" w:hAnsi="宋体"/>
          <w:sz w:val="24"/>
        </w:rPr>
        <w:t>3、学习能力强，具有创新、合作精神，积极从事科研工作并取得好成绩；</w:t>
      </w:r>
    </w:p>
    <w:p w14:paraId="1CE44BC4">
      <w:pPr>
        <w:spacing w:line="420" w:lineRule="auto"/>
        <w:rPr>
          <w:rFonts w:hint="eastAsia" w:ascii="宋体" w:hAnsi="宋体"/>
          <w:sz w:val="24"/>
        </w:rPr>
      </w:pPr>
      <w:r>
        <w:rPr>
          <w:rFonts w:hint="eastAsia" w:ascii="宋体" w:hAnsi="宋体"/>
          <w:sz w:val="24"/>
        </w:rPr>
        <w:t>4、积极参加班级和院校组织的集体活动及社会公益活动，综合素质良好，在德、智、体方面全面发展。</w:t>
      </w:r>
    </w:p>
    <w:p w14:paraId="0A58A784">
      <w:pPr>
        <w:spacing w:line="420" w:lineRule="auto"/>
        <w:rPr>
          <w:rFonts w:hint="eastAsia" w:ascii="宋体" w:hAnsi="宋体"/>
          <w:sz w:val="24"/>
        </w:rPr>
      </w:pPr>
      <w:r>
        <w:rPr>
          <w:rFonts w:hint="eastAsia" w:ascii="宋体" w:hAnsi="宋体"/>
          <w:sz w:val="24"/>
        </w:rPr>
        <w:t>5、满足以下条件者优先:</w:t>
      </w:r>
    </w:p>
    <w:p w14:paraId="024E3C53">
      <w:pPr>
        <w:spacing w:line="420" w:lineRule="auto"/>
        <w:rPr>
          <w:rFonts w:hint="eastAsia" w:ascii="宋体" w:hAnsi="宋体"/>
          <w:sz w:val="24"/>
        </w:rPr>
      </w:pPr>
      <w:r>
        <w:rPr>
          <w:rFonts w:hint="eastAsia" w:ascii="宋体" w:hAnsi="宋体"/>
          <w:sz w:val="24"/>
        </w:rPr>
        <w:t>(1)在社会主义精神文明建设中表现突出，具有见义勇为、助人为乐、奉献爱心、服务社会、自立自强的实际行动，在本校、本地区产生重大影响有助于树立良好的社会风尚。</w:t>
      </w:r>
    </w:p>
    <w:p w14:paraId="5F09A6B4">
      <w:pPr>
        <w:spacing w:line="420" w:lineRule="auto"/>
        <w:rPr>
          <w:rFonts w:hint="eastAsia" w:ascii="宋体" w:hAnsi="宋体"/>
          <w:sz w:val="24"/>
        </w:rPr>
      </w:pPr>
      <w:r>
        <w:rPr>
          <w:rFonts w:hint="eastAsia" w:ascii="宋体" w:hAnsi="宋体"/>
          <w:sz w:val="24"/>
        </w:rPr>
        <w:t>(2)在学术科研等方面成绩显著。在专业学科竞赛、课外学术科技等竞赛中获省级及以上奖励。在学科核心期刊以第一作者发表高水平论文，且影响较大。</w:t>
      </w:r>
    </w:p>
    <w:p w14:paraId="052247CF">
      <w:pPr>
        <w:spacing w:line="420" w:lineRule="auto"/>
        <w:rPr>
          <w:rFonts w:hint="eastAsia" w:ascii="宋体" w:hAnsi="宋体"/>
          <w:sz w:val="24"/>
          <w:lang w:eastAsia="zh-CN"/>
        </w:rPr>
      </w:pPr>
      <w:r>
        <w:rPr>
          <w:rFonts w:hint="eastAsia" w:ascii="宋体" w:hAnsi="宋体"/>
          <w:sz w:val="24"/>
        </w:rPr>
        <w:t>(3)在创新实践等方面成果突出。如在省级以上研究生创新实践系列赛事挑战杯系列赛事、互联网+创新创业大赛等竞赛中获省级以上奖励，获得国家专利授权，获省部级以上科技进步、科技发明奖奖励(排名前三)等</w:t>
      </w:r>
      <w:r>
        <w:rPr>
          <w:rFonts w:hint="eastAsia" w:ascii="宋体" w:hAnsi="宋体"/>
          <w:sz w:val="24"/>
          <w:lang w:eastAsia="zh-CN"/>
        </w:rPr>
        <w:t>。</w:t>
      </w:r>
    </w:p>
    <w:p w14:paraId="384E110B">
      <w:pPr>
        <w:spacing w:line="420" w:lineRule="auto"/>
        <w:rPr>
          <w:rFonts w:hint="eastAsia" w:ascii="宋体" w:hAnsi="宋体"/>
          <w:sz w:val="24"/>
        </w:rPr>
      </w:pPr>
      <w:r>
        <w:rPr>
          <w:rFonts w:hint="eastAsia" w:ascii="宋体" w:hAnsi="宋体"/>
          <w:sz w:val="24"/>
        </w:rPr>
        <w:t>(4)在艺术、体育竞赛中取得显著成绩，获得省级一等奖及以上奖励，集体项目应为主要成员。</w:t>
      </w:r>
    </w:p>
    <w:p w14:paraId="29D87F67">
      <w:pPr>
        <w:spacing w:line="420" w:lineRule="auto"/>
        <w:rPr>
          <w:rFonts w:hint="eastAsia" w:ascii="宋体" w:hAnsi="宋体" w:eastAsia="宋体"/>
          <w:sz w:val="24"/>
          <w:lang w:eastAsia="zh-CN"/>
        </w:rPr>
      </w:pPr>
      <w:r>
        <w:rPr>
          <w:rFonts w:hint="eastAsia" w:ascii="宋体" w:hAnsi="宋体"/>
          <w:sz w:val="24"/>
        </w:rPr>
        <w:t>(5)获全国十大杰出青年、中国青年五四奖章、中国大学生年度人物等全国性荣誉称号(满足此项条件者，成绩要求可适当放宽)</w:t>
      </w:r>
      <w:r>
        <w:rPr>
          <w:rFonts w:hint="eastAsia" w:ascii="宋体" w:hAnsi="宋体"/>
          <w:sz w:val="24"/>
          <w:lang w:eastAsia="zh-CN"/>
        </w:rPr>
        <w:t>。</w:t>
      </w:r>
    </w:p>
    <w:p w14:paraId="4349B78B">
      <w:pPr>
        <w:spacing w:line="420" w:lineRule="auto"/>
        <w:rPr>
          <w:rFonts w:hint="eastAsia" w:ascii="宋体" w:hAnsi="宋体"/>
          <w:sz w:val="24"/>
        </w:rPr>
      </w:pPr>
      <w:r>
        <w:rPr>
          <w:rFonts w:hint="eastAsia" w:ascii="宋体" w:hAnsi="宋体"/>
          <w:sz w:val="24"/>
        </w:rPr>
        <w:t>(6)同等条件下家庭经济困难者或广西籍学生优先。</w:t>
      </w:r>
    </w:p>
    <w:p w14:paraId="7969E0D3">
      <w:pPr>
        <w:spacing w:line="420" w:lineRule="auto"/>
        <w:rPr>
          <w:rFonts w:ascii="宋体" w:hAnsi="宋体"/>
          <w:b/>
          <w:sz w:val="24"/>
        </w:rPr>
      </w:pPr>
      <w:r>
        <w:rPr>
          <w:rFonts w:hint="eastAsia" w:ascii="宋体" w:hAnsi="宋体"/>
          <w:b/>
          <w:sz w:val="24"/>
        </w:rPr>
        <w:t>四、评选方法</w:t>
      </w:r>
    </w:p>
    <w:p w14:paraId="7CDFF11A">
      <w:pPr>
        <w:spacing w:line="420" w:lineRule="auto"/>
        <w:ind w:firstLine="480" w:firstLineChars="200"/>
        <w:rPr>
          <w:rFonts w:hint="eastAsia" w:ascii="宋体" w:hAnsi="宋体"/>
          <w:sz w:val="24"/>
        </w:rPr>
      </w:pPr>
      <w:r>
        <w:rPr>
          <w:rFonts w:hint="eastAsia" w:ascii="宋体" w:hAnsi="宋体"/>
          <w:sz w:val="24"/>
        </w:rPr>
        <w:t>每年评选一次，各自学院奖学金评审委员会评审，报学工部审核后再发放奖</w:t>
      </w:r>
    </w:p>
    <w:p w14:paraId="5802377A">
      <w:pPr>
        <w:spacing w:line="420" w:lineRule="auto"/>
        <w:ind w:firstLine="480" w:firstLineChars="200"/>
        <w:rPr>
          <w:rFonts w:ascii="宋体" w:hAnsi="宋体"/>
          <w:color w:val="auto"/>
          <w:sz w:val="24"/>
        </w:rPr>
      </w:pPr>
      <w:r>
        <w:rPr>
          <w:rFonts w:hint="eastAsia" w:ascii="宋体" w:hAnsi="宋体"/>
          <w:sz w:val="24"/>
        </w:rPr>
        <w:t>学金。</w:t>
      </w:r>
    </w:p>
    <w:p w14:paraId="733CAE67">
      <w:pPr>
        <w:spacing w:line="420" w:lineRule="auto"/>
        <w:rPr>
          <w:rFonts w:ascii="宋体" w:hAnsi="宋体"/>
          <w:b/>
          <w:color w:val="auto"/>
          <w:sz w:val="24"/>
        </w:rPr>
      </w:pPr>
      <w:r>
        <w:rPr>
          <w:rFonts w:hint="eastAsia" w:ascii="宋体" w:hAnsi="宋体"/>
          <w:b/>
          <w:color w:val="auto"/>
          <w:sz w:val="24"/>
        </w:rPr>
        <w:t>五、</w:t>
      </w:r>
      <w:r>
        <w:rPr>
          <w:rFonts w:hint="eastAsia" w:ascii="宋体" w:hAnsi="宋体"/>
          <w:b/>
          <w:color w:val="auto"/>
          <w:sz w:val="24"/>
          <w:lang w:val="en-US" w:eastAsia="zh-CN"/>
        </w:rPr>
        <w:t>奖学金</w:t>
      </w:r>
      <w:r>
        <w:rPr>
          <w:rFonts w:hint="eastAsia" w:ascii="宋体" w:hAnsi="宋体"/>
          <w:b/>
          <w:color w:val="auto"/>
          <w:sz w:val="24"/>
        </w:rPr>
        <w:t>发放</w:t>
      </w:r>
    </w:p>
    <w:p w14:paraId="225384C7">
      <w:pPr>
        <w:spacing w:line="420" w:lineRule="auto"/>
        <w:rPr>
          <w:rFonts w:hint="eastAsia" w:ascii="宋体" w:hAnsi="宋体"/>
          <w:color w:val="auto"/>
          <w:sz w:val="24"/>
        </w:rPr>
      </w:pPr>
      <w:r>
        <w:rPr>
          <w:rFonts w:hint="eastAsia" w:ascii="宋体" w:hAnsi="宋体"/>
          <w:color w:val="auto"/>
          <w:sz w:val="24"/>
        </w:rPr>
        <w:t>协议签订后,柳州欧维姆机械股份有限公司每年9月底前将当年奖励基金拾万元人民币划拨给西南交通大学教育基金会，西南交通大学教育基金会收到款项后作为西南交通大学“欧维姆奖学金”专项经费，并向柳州欧维姆机械股份有限公司提供有效捐赠票据，按照评选办法每年评定后发放奖学金。</w:t>
      </w:r>
    </w:p>
    <w:p w14:paraId="79344DDC">
      <w:pPr>
        <w:spacing w:line="420" w:lineRule="auto"/>
        <w:rPr>
          <w:rFonts w:ascii="宋体" w:hAnsi="宋体"/>
          <w:sz w:val="24"/>
        </w:rPr>
      </w:pPr>
      <w:r>
        <w:rPr>
          <w:rFonts w:hint="eastAsia" w:ascii="宋体" w:hAnsi="宋体"/>
          <w:b/>
          <w:sz w:val="24"/>
        </w:rPr>
        <w:t>六、颁奖</w:t>
      </w:r>
    </w:p>
    <w:p w14:paraId="132587AA">
      <w:pPr>
        <w:spacing w:line="420" w:lineRule="auto"/>
        <w:ind w:firstLine="468" w:firstLineChars="195"/>
        <w:rPr>
          <w:rFonts w:hint="eastAsia" w:ascii="宋体" w:hAnsi="宋体"/>
          <w:sz w:val="24"/>
        </w:rPr>
      </w:pPr>
      <w:r>
        <w:rPr>
          <w:rFonts w:hint="eastAsia" w:ascii="宋体" w:hAnsi="宋体"/>
          <w:sz w:val="24"/>
        </w:rPr>
        <w:t>由甲乙双方共同协商时间组织颁奖仪式进行颁奖，乙方负责提供场地， 做好学生组织工作，甲方可在颁奖仪式后给土木相关领域的学生进行学术讲座。</w:t>
      </w:r>
    </w:p>
    <w:p w14:paraId="43B76101">
      <w:pPr>
        <w:rPr>
          <w:rFonts w:hint="eastAsia" w:ascii="宋体" w:hAnsi="宋体"/>
          <w:sz w:val="24"/>
        </w:rPr>
      </w:pPr>
      <w:r>
        <w:rPr>
          <w:rFonts w:hint="eastAsia" w:ascii="宋体" w:hAnsi="宋体"/>
          <w:sz w:val="24"/>
        </w:rPr>
        <w:br w:type="page"/>
      </w:r>
    </w:p>
    <w:p w14:paraId="2F9B5553">
      <w:pPr>
        <w:rPr>
          <w:rFonts w:hint="eastAsia"/>
          <w:highlight w:val="none"/>
          <w:lang w:eastAsia="zh-CN"/>
        </w:rPr>
      </w:pPr>
    </w:p>
    <w:p w14:paraId="57D5C0CD">
      <w:pPr>
        <w:pStyle w:val="2"/>
        <w:spacing w:after="156"/>
        <w:ind w:firstLine="640"/>
        <w:rPr>
          <w:rFonts w:hint="eastAsia"/>
          <w:highlight w:val="none"/>
          <w:lang w:eastAsia="zh-CN"/>
        </w:rPr>
      </w:pPr>
      <w:bookmarkStart w:id="14" w:name="_Toc7813"/>
      <w:bookmarkStart w:id="15" w:name="_Toc25600"/>
      <w:r>
        <w:rPr>
          <w:rFonts w:hint="eastAsia"/>
          <w:highlight w:val="none"/>
          <w:lang w:eastAsia="zh-CN"/>
        </w:rPr>
        <w:t>“万路通”桥梁奖学金</w:t>
      </w:r>
      <w:bookmarkEnd w:id="14"/>
      <w:bookmarkEnd w:id="15"/>
    </w:p>
    <w:p w14:paraId="2D5F343B">
      <w:pPr>
        <w:spacing w:line="360" w:lineRule="auto"/>
        <w:ind w:firstLine="470" w:firstLineChars="196"/>
        <w:rPr>
          <w:rFonts w:hint="eastAsia"/>
          <w:sz w:val="24"/>
          <w:szCs w:val="24"/>
          <w:highlight w:val="none"/>
        </w:rPr>
      </w:pPr>
      <w:r>
        <w:rPr>
          <w:rFonts w:hint="eastAsia"/>
          <w:sz w:val="24"/>
          <w:szCs w:val="24"/>
          <w:highlight w:val="none"/>
        </w:rPr>
        <w:t>为了支持国家桥梁教育事业的发展，鼓励在校学生刻苦学习、勇于创新，由我校桥梁专业校友魏伯忠倡议并发起，特设立西南交通大学“万路通”桥梁奖学金。奖学金由四川西南交通大学教育基金会管理并成立“万路通”桥梁奖学金专项基金。本奖学金由单位和个人捐赠组成。奖学金按照《西南交通大学奖助学金评审管理办法》及《土木工程学院专项奖助金评选办法》，本着公开、公平、公正原则，每年评定和奖励桥梁工程方向优秀学生一次，以基金本金和银行存款利息作为学生奖学金。</w:t>
      </w:r>
    </w:p>
    <w:p w14:paraId="3A8063C4">
      <w:pPr>
        <w:numPr>
          <w:ilvl w:val="0"/>
          <w:numId w:val="0"/>
        </w:numPr>
        <w:spacing w:line="360" w:lineRule="auto"/>
        <w:rPr>
          <w:rFonts w:hint="eastAsia" w:ascii="Times New Roman" w:hAnsi="Times New Roman" w:eastAsia="宋体" w:cs="Times New Roman"/>
          <w:sz w:val="24"/>
          <w:szCs w:val="24"/>
          <w:highlight w:val="none"/>
        </w:rPr>
      </w:pPr>
      <w:r>
        <w:rPr>
          <w:rFonts w:hint="eastAsia" w:ascii="黑体" w:hAnsi="黑体" w:eastAsia="黑体"/>
          <w:b/>
          <w:sz w:val="24"/>
          <w:szCs w:val="24"/>
          <w:highlight w:val="none"/>
          <w:lang w:val="en-US" w:eastAsia="zh-CN"/>
        </w:rPr>
        <w:t>一、</w:t>
      </w:r>
      <w:r>
        <w:rPr>
          <w:rFonts w:hint="eastAsia" w:ascii="黑体" w:hAnsi="黑体" w:eastAsia="黑体"/>
          <w:b/>
          <w:sz w:val="24"/>
          <w:szCs w:val="24"/>
          <w:highlight w:val="none"/>
        </w:rPr>
        <w:t>评奖范围</w:t>
      </w:r>
    </w:p>
    <w:p w14:paraId="4B24B1FD">
      <w:pPr>
        <w:spacing w:line="360" w:lineRule="auto"/>
        <w:ind w:firstLine="470" w:firstLineChars="196"/>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奖学金的奖励范围和申报条件是：在学术、科研等方面取得突出成绩的、品学兼优的、具有西南交通大学土木工程学院正式学籍的全日制博士生、硕士生和本科生。</w:t>
      </w:r>
    </w:p>
    <w:p w14:paraId="51498626">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二、奖励人数及金额</w:t>
      </w:r>
    </w:p>
    <w:p w14:paraId="315E17B9">
      <w:pPr>
        <w:adjustRightInd w:val="0"/>
        <w:snapToGrid w:val="0"/>
        <w:spacing w:line="360" w:lineRule="auto"/>
        <w:ind w:firstLine="480" w:firstLineChars="200"/>
        <w:rPr>
          <w:rFonts w:hint="eastAsia"/>
          <w:sz w:val="24"/>
          <w:szCs w:val="24"/>
          <w:highlight w:val="none"/>
        </w:rPr>
      </w:pPr>
      <w:r>
        <w:rPr>
          <w:rFonts w:hint="eastAsia"/>
          <w:sz w:val="24"/>
          <w:szCs w:val="24"/>
          <w:highlight w:val="none"/>
        </w:rPr>
        <w:t>每学年奖励桥梁方向和道桥渡方向本科生（入学满2年）二名，每人奖励人民币3000元；桥梁专业硕士研究生二名，每人奖励人民币4000元；桥梁专业博士研究生一名，每人奖励人民币5000元。</w:t>
      </w:r>
    </w:p>
    <w:p w14:paraId="0D24474A">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三、评选条件</w:t>
      </w:r>
    </w:p>
    <w:p w14:paraId="0906F1EF">
      <w:pPr>
        <w:adjustRightInd w:val="0"/>
        <w:snapToGrid w:val="0"/>
        <w:spacing w:line="360" w:lineRule="auto"/>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1.思想积极、要求上进，有良好的道德修养，热爱祖国，爱校爱院；</w:t>
      </w:r>
    </w:p>
    <w:p w14:paraId="7C3D8816">
      <w:pPr>
        <w:adjustRightInd w:val="0"/>
        <w:snapToGrid w:val="0"/>
        <w:spacing w:line="360" w:lineRule="auto"/>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2.热爱</w:t>
      </w:r>
      <w:r>
        <w:rPr>
          <w:rFonts w:hint="eastAsia" w:ascii="Times New Roman" w:hAnsi="Times New Roman" w:eastAsia="宋体" w:cs="Times New Roman"/>
          <w:sz w:val="24"/>
          <w:szCs w:val="24"/>
          <w:highlight w:val="none"/>
          <w:lang w:val="en-US" w:eastAsia="zh-CN"/>
        </w:rPr>
        <w:t>桥梁</w:t>
      </w:r>
      <w:r>
        <w:rPr>
          <w:rFonts w:hint="eastAsia" w:ascii="Times New Roman" w:hAnsi="Times New Roman" w:eastAsia="宋体" w:cs="Times New Roman"/>
          <w:sz w:val="24"/>
          <w:szCs w:val="24"/>
          <w:highlight w:val="none"/>
        </w:rPr>
        <w:t>工程专业，立志为国家</w:t>
      </w:r>
      <w:r>
        <w:rPr>
          <w:rFonts w:hint="eastAsia" w:ascii="Times New Roman" w:hAnsi="Times New Roman" w:eastAsia="宋体" w:cs="Times New Roman"/>
          <w:sz w:val="24"/>
          <w:szCs w:val="24"/>
          <w:highlight w:val="none"/>
          <w:lang w:val="en-US" w:eastAsia="zh-CN"/>
        </w:rPr>
        <w:t>桥梁</w:t>
      </w:r>
      <w:r>
        <w:rPr>
          <w:rFonts w:hint="eastAsia" w:ascii="Times New Roman" w:hAnsi="Times New Roman" w:eastAsia="宋体" w:cs="Times New Roman"/>
          <w:sz w:val="24"/>
          <w:szCs w:val="24"/>
          <w:highlight w:val="none"/>
        </w:rPr>
        <w:t>事业努力奋斗；</w:t>
      </w:r>
    </w:p>
    <w:p w14:paraId="68A61A6D">
      <w:pPr>
        <w:adjustRightInd w:val="0"/>
        <w:snapToGrid w:val="0"/>
        <w:spacing w:line="360" w:lineRule="auto"/>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3.学习努力刻苦，学习成绩优良；</w:t>
      </w:r>
    </w:p>
    <w:p w14:paraId="572FD469">
      <w:pPr>
        <w:adjustRightInd w:val="0"/>
        <w:snapToGrid w:val="0"/>
        <w:spacing w:line="360" w:lineRule="auto"/>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4.积极参与学校活动及社会工作，在学术、科研等方面取得突出成绩。</w:t>
      </w:r>
    </w:p>
    <w:p w14:paraId="048E371A">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四、评选程序</w:t>
      </w:r>
    </w:p>
    <w:p w14:paraId="7A484F03">
      <w:pPr>
        <w:numPr>
          <w:ilvl w:val="0"/>
          <w:numId w:val="0"/>
        </w:numPr>
        <w:adjustRightInd w:val="0"/>
        <w:snapToGrid w:val="0"/>
        <w:spacing w:line="360" w:lineRule="auto"/>
        <w:ind w:firstLine="480" w:firstLineChars="200"/>
        <w:rPr>
          <w:rFonts w:hint="eastAsia"/>
          <w:sz w:val="24"/>
          <w:szCs w:val="24"/>
          <w:highlight w:val="none"/>
        </w:rPr>
      </w:pPr>
      <w:r>
        <w:rPr>
          <w:rFonts w:hint="eastAsia"/>
          <w:sz w:val="24"/>
          <w:szCs w:val="24"/>
          <w:highlight w:val="none"/>
          <w:lang w:val="en-US" w:eastAsia="zh-CN"/>
        </w:rPr>
        <w:t>1.</w:t>
      </w:r>
      <w:r>
        <w:rPr>
          <w:rFonts w:hint="eastAsia"/>
          <w:sz w:val="24"/>
          <w:szCs w:val="24"/>
          <w:highlight w:val="none"/>
        </w:rPr>
        <w:t>学生本人申请，各系所（单位）推荐，土木学院（单位）初审；</w:t>
      </w:r>
    </w:p>
    <w:p w14:paraId="540AC719">
      <w:pPr>
        <w:numPr>
          <w:ilvl w:val="0"/>
          <w:numId w:val="0"/>
        </w:numPr>
        <w:adjustRightInd w:val="0"/>
        <w:snapToGrid w:val="0"/>
        <w:spacing w:line="360" w:lineRule="auto"/>
        <w:ind w:firstLine="480" w:firstLineChars="200"/>
        <w:rPr>
          <w:rFonts w:hint="eastAsia"/>
          <w:sz w:val="24"/>
          <w:szCs w:val="24"/>
          <w:highlight w:val="none"/>
        </w:rPr>
      </w:pPr>
      <w:r>
        <w:rPr>
          <w:rFonts w:hint="eastAsia"/>
          <w:sz w:val="24"/>
          <w:szCs w:val="24"/>
          <w:highlight w:val="none"/>
          <w:lang w:val="en-US" w:eastAsia="zh-CN"/>
        </w:rPr>
        <w:t>2.</w:t>
      </w:r>
      <w:r>
        <w:rPr>
          <w:rFonts w:hint="eastAsia"/>
          <w:sz w:val="24"/>
          <w:szCs w:val="24"/>
          <w:highlight w:val="none"/>
        </w:rPr>
        <w:t>土木学院（单位）向管理委员会推荐候选人员名单；</w:t>
      </w:r>
    </w:p>
    <w:p w14:paraId="6EE2EB78">
      <w:pPr>
        <w:numPr>
          <w:ilvl w:val="0"/>
          <w:numId w:val="0"/>
        </w:numPr>
        <w:adjustRightInd w:val="0"/>
        <w:snapToGrid w:val="0"/>
        <w:spacing w:line="360" w:lineRule="auto"/>
        <w:ind w:firstLine="480" w:firstLineChars="200"/>
        <w:rPr>
          <w:rFonts w:hint="eastAsia"/>
          <w:sz w:val="24"/>
          <w:szCs w:val="24"/>
          <w:highlight w:val="none"/>
        </w:rPr>
      </w:pPr>
      <w:r>
        <w:rPr>
          <w:rFonts w:hint="eastAsia"/>
          <w:sz w:val="24"/>
          <w:szCs w:val="24"/>
          <w:highlight w:val="none"/>
          <w:lang w:val="en-US" w:eastAsia="zh-CN"/>
        </w:rPr>
        <w:t>3.</w:t>
      </w:r>
      <w:r>
        <w:rPr>
          <w:rFonts w:hint="eastAsia"/>
          <w:sz w:val="24"/>
          <w:szCs w:val="24"/>
          <w:highlight w:val="none"/>
        </w:rPr>
        <w:t>管理委员会审批，公示后奖励。</w:t>
      </w:r>
    </w:p>
    <w:p w14:paraId="10EB680A">
      <w:pPr>
        <w:spacing w:line="360" w:lineRule="auto"/>
        <w:jc w:val="center"/>
        <w:rPr>
          <w:rFonts w:hint="eastAsia" w:ascii="仿宋" w:hAnsi="仿宋" w:eastAsia="仿宋"/>
          <w:b/>
          <w:sz w:val="28"/>
          <w:szCs w:val="28"/>
        </w:rPr>
      </w:pPr>
    </w:p>
    <w:p w14:paraId="59D2DD9B">
      <w:pPr>
        <w:spacing w:line="360" w:lineRule="auto"/>
        <w:jc w:val="center"/>
        <w:rPr>
          <w:rFonts w:hint="eastAsia" w:ascii="仿宋" w:hAnsi="仿宋" w:eastAsia="仿宋"/>
          <w:b/>
          <w:sz w:val="28"/>
          <w:szCs w:val="28"/>
        </w:rPr>
      </w:pPr>
    </w:p>
    <w:p w14:paraId="03C92AAC">
      <w:pPr>
        <w:spacing w:line="360" w:lineRule="auto"/>
        <w:jc w:val="center"/>
        <w:rPr>
          <w:rFonts w:hint="eastAsia" w:ascii="仿宋" w:hAnsi="仿宋" w:eastAsia="仿宋"/>
          <w:b/>
          <w:sz w:val="28"/>
          <w:szCs w:val="28"/>
        </w:rPr>
      </w:pPr>
    </w:p>
    <w:p w14:paraId="6E5ED256">
      <w:pPr>
        <w:rPr>
          <w:rFonts w:hint="eastAsia" w:ascii="仿宋" w:hAnsi="仿宋" w:eastAsia="仿宋"/>
          <w:b/>
          <w:sz w:val="28"/>
          <w:szCs w:val="28"/>
        </w:rPr>
      </w:pPr>
      <w:r>
        <w:rPr>
          <w:rFonts w:hint="eastAsia" w:ascii="仿宋" w:hAnsi="仿宋" w:eastAsia="仿宋"/>
          <w:b/>
          <w:sz w:val="28"/>
          <w:szCs w:val="28"/>
        </w:rPr>
        <w:br w:type="page"/>
      </w:r>
    </w:p>
    <w:p w14:paraId="6CF1C7F6">
      <w:pPr>
        <w:pStyle w:val="2"/>
        <w:spacing w:after="156"/>
        <w:ind w:firstLine="640"/>
        <w:rPr>
          <w:rFonts w:hint="eastAsia"/>
          <w:highlight w:val="none"/>
          <w:lang w:eastAsia="zh-CN"/>
        </w:rPr>
      </w:pPr>
      <w:bookmarkStart w:id="16" w:name="_Toc14919"/>
      <w:bookmarkStart w:id="17" w:name="_Toc30983"/>
      <w:r>
        <w:rPr>
          <w:rFonts w:hint="eastAsia"/>
          <w:highlight w:val="none"/>
          <w:lang w:eastAsia="zh-CN"/>
        </w:rPr>
        <w:t>西南交大土木工程设计有限公司奖学金评选办法</w:t>
      </w:r>
      <w:bookmarkEnd w:id="16"/>
      <w:bookmarkEnd w:id="17"/>
    </w:p>
    <w:p w14:paraId="77CA33CF">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一、奖励对象</w:t>
      </w:r>
    </w:p>
    <w:p w14:paraId="75D7FDF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西南交通大学全日制土木工程专业在读本科生及研究生</w:t>
      </w:r>
    </w:p>
    <w:p w14:paraId="7B760806">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二、奖励金额及期限</w:t>
      </w:r>
    </w:p>
    <w:p w14:paraId="502DB304">
      <w:pPr>
        <w:spacing w:line="360" w:lineRule="auto"/>
        <w:ind w:firstLine="420"/>
        <w:rPr>
          <w:rFonts w:hint="eastAsia" w:ascii="宋体" w:hAnsi="宋体" w:eastAsia="宋体" w:cs="宋体"/>
          <w:sz w:val="24"/>
          <w:szCs w:val="24"/>
        </w:rPr>
      </w:pPr>
      <w:r>
        <w:rPr>
          <w:rFonts w:hint="eastAsia" w:ascii="宋体" w:hAnsi="宋体" w:eastAsia="宋体" w:cs="宋体"/>
          <w:sz w:val="24"/>
          <w:szCs w:val="24"/>
        </w:rPr>
        <w:t xml:space="preserve"> 奖学金总额人民币50万元，每年奖励10万元，连续奖励5年，2017年开始评选，至2026年结束。每学年奖励10名本科生及5名研究生，本科生每人奖励5000元，研究生每人奖励10000元。</w:t>
      </w:r>
    </w:p>
    <w:p w14:paraId="1EAE6203">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三、申请条件</w:t>
      </w:r>
    </w:p>
    <w:p w14:paraId="26628ECF">
      <w:pPr>
        <w:spacing w:line="360" w:lineRule="auto"/>
        <w:rPr>
          <w:rFonts w:hint="eastAsia" w:ascii="宋体" w:hAnsi="宋体" w:eastAsia="宋体" w:cs="宋体"/>
          <w:sz w:val="24"/>
          <w:szCs w:val="24"/>
        </w:rPr>
      </w:pPr>
      <w:r>
        <w:rPr>
          <w:rFonts w:hint="eastAsia" w:ascii="宋体" w:hAnsi="宋体" w:eastAsia="宋体" w:cs="宋体"/>
          <w:sz w:val="24"/>
          <w:szCs w:val="24"/>
        </w:rPr>
        <w:t>（一）基本条件</w:t>
      </w:r>
    </w:p>
    <w:p w14:paraId="6C4BC3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1.热爱社会主义祖国，拥护中国共产党的领导和改革开放政策；</w:t>
      </w:r>
    </w:p>
    <w:p w14:paraId="64272E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2.遵守宪法和法律，遵守学校规章制度，诚实守信，道德品质优良；</w:t>
      </w:r>
    </w:p>
    <w:p w14:paraId="25456D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3.学习成绩良好，科研能力或者实践能力显著，发展潜力突出；</w:t>
      </w:r>
    </w:p>
    <w:p w14:paraId="4867A4E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4.身心健康，积极参加科技创新、社会实践及社会公益活动。</w:t>
      </w:r>
    </w:p>
    <w:p w14:paraId="10D2B135">
      <w:pPr>
        <w:spacing w:line="360" w:lineRule="auto"/>
        <w:rPr>
          <w:rFonts w:hint="eastAsia" w:ascii="宋体" w:hAnsi="宋体" w:eastAsia="宋体" w:cs="宋体"/>
          <w:sz w:val="24"/>
          <w:szCs w:val="24"/>
        </w:rPr>
      </w:pPr>
      <w:r>
        <w:rPr>
          <w:rFonts w:hint="eastAsia" w:ascii="宋体" w:hAnsi="宋体" w:eastAsia="宋体" w:cs="宋体"/>
          <w:sz w:val="24"/>
          <w:szCs w:val="24"/>
        </w:rPr>
        <w:t>（二）限制条件</w:t>
      </w:r>
    </w:p>
    <w:p w14:paraId="2D035D9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凡有下列情况之一者，取消评奖资格</w:t>
      </w:r>
    </w:p>
    <w:p w14:paraId="3E27BED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1.本学期没有正常报道注册的学生；</w:t>
      </w:r>
    </w:p>
    <w:p w14:paraId="5DDEEAD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2.违反校纪校规受到警告及以上纪律处分；</w:t>
      </w:r>
    </w:p>
    <w:p w14:paraId="10FAB03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3.在申请奖学金过程中有弄虚作假行为。</w:t>
      </w:r>
    </w:p>
    <w:p w14:paraId="162A2618">
      <w:pPr>
        <w:numPr>
          <w:ilvl w:val="0"/>
          <w:numId w:val="0"/>
        </w:numPr>
        <w:spacing w:line="360" w:lineRule="auto"/>
        <w:rPr>
          <w:rFonts w:hint="eastAsia" w:ascii="黑体" w:hAnsi="黑体" w:eastAsia="黑体" w:cs="Times New Roman"/>
          <w:b/>
          <w:sz w:val="24"/>
          <w:szCs w:val="24"/>
          <w:highlight w:val="none"/>
        </w:rPr>
      </w:pPr>
      <w:r>
        <w:rPr>
          <w:rFonts w:hint="eastAsia" w:ascii="黑体" w:hAnsi="黑体" w:eastAsia="黑体" w:cs="Times New Roman"/>
          <w:b/>
          <w:sz w:val="24"/>
          <w:szCs w:val="24"/>
          <w:highlight w:val="none"/>
        </w:rPr>
        <w:t>四、申请与评审程序</w:t>
      </w:r>
    </w:p>
    <w:p w14:paraId="5AD629DB">
      <w:pPr>
        <w:spacing w:line="360" w:lineRule="auto"/>
        <w:rPr>
          <w:rFonts w:hint="eastAsia" w:ascii="宋体" w:hAnsi="宋体" w:eastAsia="宋体" w:cs="宋体"/>
          <w:sz w:val="24"/>
          <w:szCs w:val="24"/>
        </w:rPr>
      </w:pPr>
      <w:r>
        <w:rPr>
          <w:rFonts w:hint="eastAsia" w:ascii="宋体" w:hAnsi="宋体" w:eastAsia="宋体" w:cs="宋体"/>
          <w:sz w:val="24"/>
          <w:szCs w:val="24"/>
        </w:rPr>
        <w:t>（一）申请</w:t>
      </w:r>
    </w:p>
    <w:p w14:paraId="57530B8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1.每年9月-10月，土木工程学院学生工作组发布奖学金申请，并做好相关宣传工作；</w:t>
      </w:r>
    </w:p>
    <w:p w14:paraId="5F37478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2.学生本人提交奖项申请，并将相关证明材料提交至学院学生工作组。</w:t>
      </w:r>
    </w:p>
    <w:p w14:paraId="7991C7F8">
      <w:pPr>
        <w:spacing w:line="360" w:lineRule="auto"/>
        <w:rPr>
          <w:rFonts w:hint="eastAsia" w:ascii="宋体" w:hAnsi="宋体" w:eastAsia="宋体" w:cs="宋体"/>
          <w:sz w:val="24"/>
          <w:szCs w:val="24"/>
        </w:rPr>
      </w:pPr>
      <w:r>
        <w:rPr>
          <w:rFonts w:hint="eastAsia" w:ascii="宋体" w:hAnsi="宋体" w:eastAsia="宋体" w:cs="宋体"/>
          <w:sz w:val="24"/>
          <w:szCs w:val="24"/>
        </w:rPr>
        <w:t>（二）评选</w:t>
      </w:r>
    </w:p>
    <w:p w14:paraId="3ED555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1.学院汇总、初审学生申请材料，西南交通大学土木工程基金管理委员会评审，确定推荐人选，进行公示，公示无异议后，将评审结果提交至学生工作处，并将学生申请材料报学生工作处审核；</w:t>
      </w:r>
    </w:p>
    <w:p w14:paraId="4B2AD81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2.学生工作处审核，报送学校专项奖助学金评审委员会评审，并将结果通报西南交大土木工程设计有限公司；</w:t>
      </w:r>
    </w:p>
    <w:p w14:paraId="47630F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3.每年学校与捐赠方协商开展颁奖典礼及其他相关活动。</w:t>
      </w:r>
    </w:p>
    <w:p w14:paraId="5C51B45C">
      <w:pPr>
        <w:ind w:left="0" w:leftChars="0" w:firstLine="0" w:firstLineChars="0"/>
        <w:rPr>
          <w:rFonts w:hint="eastAsia"/>
          <w:highlight w:val="none"/>
        </w:rPr>
      </w:pPr>
    </w:p>
    <w:p w14:paraId="127C8F94">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6171DFE4">
      <w:pPr>
        <w:pStyle w:val="2"/>
        <w:bidi w:val="0"/>
        <w:rPr>
          <w:rFonts w:hint="eastAsia"/>
          <w:lang w:val="en-US" w:eastAsia="zh-CN"/>
        </w:rPr>
      </w:pPr>
      <w:bookmarkStart w:id="18" w:name="_Toc17786"/>
      <w:r>
        <w:rPr>
          <w:rFonts w:hint="eastAsia"/>
          <w:lang w:val="en-US" w:eastAsia="zh-CN"/>
        </w:rPr>
        <w:t>西南交通大学卓鼎银丰奖学金评选办法</w:t>
      </w:r>
      <w:bookmarkEnd w:id="18"/>
    </w:p>
    <w:p w14:paraId="69F887A9">
      <w:pPr>
        <w:rPr>
          <w:rFonts w:hint="default" w:ascii="宋体" w:hAnsi="宋体" w:eastAsia="宋体" w:cs="宋体"/>
          <w:sz w:val="28"/>
          <w:szCs w:val="28"/>
          <w:lang w:val="en-US" w:eastAsia="zh-CN"/>
        </w:rPr>
      </w:pPr>
      <w:r>
        <w:rPr>
          <w:rFonts w:hint="eastAsia" w:ascii="宋体" w:hAnsi="宋体" w:cs="宋体"/>
          <w:sz w:val="28"/>
          <w:szCs w:val="28"/>
          <w:lang w:val="en-US" w:eastAsia="zh-CN"/>
        </w:rPr>
        <w:t xml:space="preserve">    为了支持土建材料类专业人才培养，鼓励在校学生刻苦学习、勇于创新，四川卓鼎银丰建筑材料有限公司出资设立西南交通大学卓鼎银丰奖学金。奖学金按照《西南交通大学奖助学金评审管理办法》及《西南交通大学研究生专项奖助学金评审管理办法》，本着公开、公平、公正原则，每年评定一次。</w:t>
      </w:r>
    </w:p>
    <w:p w14:paraId="1760287C">
      <w:pPr>
        <w:numPr>
          <w:ilvl w:val="0"/>
          <w:numId w:val="1"/>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奖学金名称</w:t>
      </w:r>
    </w:p>
    <w:p w14:paraId="53D59357">
      <w:pPr>
        <w:numPr>
          <w:ilvl w:val="0"/>
          <w:numId w:val="0"/>
        </w:numPr>
        <w:ind w:firstLine="48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西南交通大学卓鼎银丰奖学金。</w:t>
      </w:r>
    </w:p>
    <w:p w14:paraId="47F9BBCE">
      <w:pPr>
        <w:numPr>
          <w:ilvl w:val="0"/>
          <w:numId w:val="1"/>
        </w:numPr>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奖励对象</w:t>
      </w:r>
    </w:p>
    <w:p w14:paraId="3315D30F">
      <w:pPr>
        <w:numPr>
          <w:ilvl w:val="0"/>
          <w:numId w:val="0"/>
        </w:numPr>
        <w:ind w:leftChars="0" w:firstLine="48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学业优秀、积极从事科研工作并取得较好成绩的、品学兼优的土木工程学院全日制在校</w:t>
      </w:r>
      <w:r>
        <w:rPr>
          <w:rFonts w:hint="eastAsia" w:ascii="宋体" w:hAnsi="宋体" w:cs="宋体"/>
          <w:sz w:val="28"/>
          <w:szCs w:val="28"/>
          <w:lang w:val="en-US" w:eastAsia="zh-CN"/>
        </w:rPr>
        <w:t>博士生、硕士生、本科生。申请人为研究生时，</w:t>
      </w:r>
      <w:r>
        <w:rPr>
          <w:rFonts w:hint="eastAsia" w:ascii="宋体" w:hAnsi="宋体" w:eastAsia="宋体" w:cs="宋体"/>
          <w:sz w:val="28"/>
          <w:szCs w:val="28"/>
          <w:u w:val="single"/>
        </w:rPr>
        <w:t>参评学年支撑学术成果中有土建材料方面的成果</w:t>
      </w:r>
      <w:r>
        <w:rPr>
          <w:rFonts w:hint="eastAsia" w:ascii="宋体" w:hAnsi="宋体" w:eastAsia="宋体" w:cs="宋体"/>
          <w:sz w:val="28"/>
          <w:szCs w:val="28"/>
          <w:u w:val="single"/>
          <w:lang w:val="en-US" w:eastAsia="zh-CN"/>
        </w:rPr>
        <w:t>。</w:t>
      </w:r>
    </w:p>
    <w:p w14:paraId="4BB870EC">
      <w:pPr>
        <w:numPr>
          <w:ilvl w:val="0"/>
          <w:numId w:val="1"/>
        </w:numPr>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奖励人数及金额</w:t>
      </w:r>
    </w:p>
    <w:p w14:paraId="1438BFCB">
      <w:pPr>
        <w:numPr>
          <w:ilvl w:val="0"/>
          <w:numId w:val="0"/>
        </w:numPr>
        <w:ind w:leftChars="0" w:firstLine="48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每学年评选</w:t>
      </w:r>
      <w:r>
        <w:rPr>
          <w:rFonts w:hint="eastAsia" w:ascii="宋体" w:hAnsi="宋体" w:cs="宋体"/>
          <w:sz w:val="28"/>
          <w:szCs w:val="28"/>
          <w:lang w:val="en-US" w:eastAsia="zh-CN"/>
        </w:rPr>
        <w:t>本科生4名，每人奖励3000元；</w:t>
      </w:r>
      <w:r>
        <w:rPr>
          <w:rFonts w:hint="eastAsia" w:ascii="宋体" w:hAnsi="宋体" w:eastAsia="宋体" w:cs="宋体"/>
          <w:sz w:val="28"/>
          <w:szCs w:val="28"/>
          <w:lang w:val="en-US" w:eastAsia="zh-CN"/>
        </w:rPr>
        <w:t>硕士研究生4名，每人奖励4</w:t>
      </w:r>
      <w:r>
        <w:rPr>
          <w:rFonts w:hint="eastAsia" w:ascii="宋体" w:hAnsi="宋体" w:cs="宋体"/>
          <w:sz w:val="28"/>
          <w:szCs w:val="28"/>
          <w:lang w:val="en-US" w:eastAsia="zh-CN"/>
        </w:rPr>
        <w:t>0</w:t>
      </w:r>
      <w:r>
        <w:rPr>
          <w:rFonts w:hint="eastAsia" w:ascii="宋体" w:hAnsi="宋体" w:eastAsia="宋体" w:cs="宋体"/>
          <w:sz w:val="28"/>
          <w:szCs w:val="28"/>
          <w:lang w:val="en-US" w:eastAsia="zh-CN"/>
        </w:rPr>
        <w:t>00元；博士研究生</w:t>
      </w:r>
      <w:r>
        <w:rPr>
          <w:rFonts w:hint="eastAsia" w:ascii="宋体" w:hAnsi="宋体" w:cs="宋体"/>
          <w:sz w:val="28"/>
          <w:szCs w:val="28"/>
          <w:lang w:val="en-US" w:eastAsia="zh-CN"/>
        </w:rPr>
        <w:t>1</w:t>
      </w:r>
      <w:r>
        <w:rPr>
          <w:rFonts w:hint="eastAsia" w:ascii="宋体" w:hAnsi="宋体" w:eastAsia="宋体" w:cs="宋体"/>
          <w:sz w:val="28"/>
          <w:szCs w:val="28"/>
          <w:lang w:val="en-US" w:eastAsia="zh-CN"/>
        </w:rPr>
        <w:t>名，每人奖励</w:t>
      </w:r>
      <w:r>
        <w:rPr>
          <w:rFonts w:hint="eastAsia" w:ascii="宋体" w:hAnsi="宋体" w:cs="宋体"/>
          <w:sz w:val="28"/>
          <w:szCs w:val="28"/>
          <w:lang w:val="en-US" w:eastAsia="zh-CN"/>
        </w:rPr>
        <w:t>57</w:t>
      </w:r>
      <w:r>
        <w:rPr>
          <w:rFonts w:hint="eastAsia" w:ascii="宋体" w:hAnsi="宋体" w:eastAsia="宋体" w:cs="宋体"/>
          <w:sz w:val="28"/>
          <w:szCs w:val="28"/>
          <w:lang w:val="en-US" w:eastAsia="zh-CN"/>
        </w:rPr>
        <w:t>00元，合计</w:t>
      </w:r>
      <w:r>
        <w:rPr>
          <w:rFonts w:hint="eastAsia" w:ascii="宋体" w:hAnsi="宋体" w:cs="宋体"/>
          <w:sz w:val="28"/>
          <w:szCs w:val="28"/>
          <w:lang w:val="en-US" w:eastAsia="zh-CN"/>
        </w:rPr>
        <w:t>叁万叁仟柒佰元。</w:t>
      </w:r>
    </w:p>
    <w:p w14:paraId="354F2A8B">
      <w:pPr>
        <w:numPr>
          <w:ilvl w:val="0"/>
          <w:numId w:val="1"/>
        </w:numPr>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评选条件</w:t>
      </w:r>
    </w:p>
    <w:p w14:paraId="3376B2C5">
      <w:pPr>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1.思想积极、要求上进，有良好的道德修养，热爱祖国，爱校爱院</w:t>
      </w:r>
      <w:r>
        <w:rPr>
          <w:rFonts w:hint="eastAsia" w:ascii="宋体" w:hAnsi="宋体" w:eastAsia="宋体" w:cs="宋体"/>
          <w:sz w:val="28"/>
          <w:szCs w:val="28"/>
          <w:lang w:eastAsia="zh-CN"/>
        </w:rPr>
        <w:t>，遵纪守法</w:t>
      </w:r>
      <w:r>
        <w:rPr>
          <w:rFonts w:hint="eastAsia" w:ascii="宋体" w:hAnsi="宋体" w:eastAsia="宋体" w:cs="宋体"/>
          <w:sz w:val="28"/>
          <w:szCs w:val="28"/>
        </w:rPr>
        <w:t>；</w:t>
      </w:r>
    </w:p>
    <w:p w14:paraId="020B80E9">
      <w:pPr>
        <w:adjustRightInd w:val="0"/>
        <w:snapToGrid w:val="0"/>
        <w:spacing w:line="360" w:lineRule="auto"/>
        <w:ind w:firstLine="560" w:firstLineChars="200"/>
        <w:rPr>
          <w:rFonts w:hint="eastAsia" w:ascii="宋体" w:hAnsi="宋体" w:cs="宋体"/>
          <w:sz w:val="28"/>
          <w:szCs w:val="28"/>
          <w:lang w:val="en-US" w:eastAsia="zh-CN"/>
        </w:rPr>
      </w:pPr>
      <w:r>
        <w:rPr>
          <w:rFonts w:hint="eastAsia" w:ascii="宋体" w:hAnsi="宋体" w:eastAsia="宋体" w:cs="宋体"/>
          <w:sz w:val="28"/>
          <w:szCs w:val="28"/>
        </w:rPr>
        <w:t>2</w:t>
      </w:r>
      <w:r>
        <w:rPr>
          <w:rFonts w:hint="eastAsia" w:ascii="宋体" w:hAnsi="宋体" w:cs="宋体"/>
          <w:sz w:val="28"/>
          <w:szCs w:val="28"/>
          <w:lang w:val="en-US" w:eastAsia="zh-CN"/>
        </w:rPr>
        <w:t>热爱土木，立志为国家土建事业努力奋斗；</w:t>
      </w:r>
    </w:p>
    <w:p w14:paraId="523A1C44">
      <w:pPr>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3.学习努力刻苦，学习成绩优良；</w:t>
      </w:r>
    </w:p>
    <w:p w14:paraId="207748A2">
      <w:pPr>
        <w:adjustRightInd w:val="0"/>
        <w:snapToGrid w:val="0"/>
        <w:spacing w:line="360" w:lineRule="auto"/>
        <w:ind w:firstLine="560" w:firstLineChars="200"/>
        <w:rPr>
          <w:rFonts w:hint="eastAsia" w:ascii="宋体" w:hAnsi="宋体" w:cs="宋体"/>
          <w:sz w:val="28"/>
          <w:szCs w:val="28"/>
          <w:lang w:val="en-US" w:eastAsia="zh-CN"/>
        </w:rPr>
      </w:pPr>
      <w:r>
        <w:rPr>
          <w:rFonts w:hint="eastAsia" w:ascii="宋体" w:hAnsi="宋体" w:eastAsia="宋体" w:cs="宋体"/>
          <w:sz w:val="28"/>
          <w:szCs w:val="28"/>
        </w:rPr>
        <w:t>4.积极参与</w:t>
      </w:r>
      <w:r>
        <w:rPr>
          <w:rFonts w:hint="eastAsia" w:ascii="宋体" w:hAnsi="宋体" w:cs="宋体"/>
          <w:sz w:val="28"/>
          <w:szCs w:val="28"/>
          <w:lang w:eastAsia="zh-CN"/>
        </w:rPr>
        <w:t>院校组织的集体</w:t>
      </w:r>
      <w:r>
        <w:rPr>
          <w:rFonts w:hint="eastAsia" w:ascii="宋体" w:hAnsi="宋体" w:eastAsia="宋体" w:cs="宋体"/>
          <w:sz w:val="28"/>
          <w:szCs w:val="28"/>
        </w:rPr>
        <w:t>活动及社会工作，</w:t>
      </w:r>
      <w:r>
        <w:rPr>
          <w:rFonts w:hint="eastAsia" w:ascii="宋体" w:hAnsi="宋体" w:cs="宋体"/>
          <w:sz w:val="28"/>
          <w:szCs w:val="28"/>
          <w:lang w:val="en-US" w:eastAsia="zh-CN"/>
        </w:rPr>
        <w:t>在学术、科研等方面取得突出成绩；</w:t>
      </w:r>
    </w:p>
    <w:p w14:paraId="4CFF44DA">
      <w:pPr>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cs="宋体"/>
          <w:sz w:val="28"/>
          <w:szCs w:val="28"/>
          <w:lang w:val="en-US" w:eastAsia="zh-CN"/>
        </w:rPr>
        <w:t>5.申请人为研究生时，</w:t>
      </w:r>
      <w:r>
        <w:rPr>
          <w:rFonts w:hint="eastAsia" w:ascii="宋体" w:hAnsi="宋体" w:cs="宋体"/>
          <w:sz w:val="28"/>
          <w:szCs w:val="28"/>
          <w:u w:val="single"/>
          <w:lang w:val="en-US" w:eastAsia="zh-CN"/>
        </w:rPr>
        <w:t>需潜心土建材料方面研究，</w:t>
      </w:r>
      <w:r>
        <w:rPr>
          <w:rFonts w:hint="eastAsia" w:ascii="宋体" w:hAnsi="宋体" w:eastAsia="宋体" w:cs="宋体"/>
          <w:sz w:val="28"/>
          <w:szCs w:val="28"/>
          <w:u w:val="single"/>
        </w:rPr>
        <w:t>在</w:t>
      </w:r>
      <w:r>
        <w:rPr>
          <w:rFonts w:hint="eastAsia" w:ascii="宋体" w:hAnsi="宋体" w:eastAsia="宋体" w:cs="宋体"/>
          <w:sz w:val="28"/>
          <w:szCs w:val="28"/>
          <w:u w:val="single"/>
          <w:lang w:eastAsia="zh-CN"/>
        </w:rPr>
        <w:t>土建材料领域</w:t>
      </w:r>
      <w:r>
        <w:rPr>
          <w:rFonts w:hint="eastAsia" w:ascii="宋体" w:hAnsi="宋体" w:eastAsia="宋体" w:cs="宋体"/>
          <w:sz w:val="28"/>
          <w:szCs w:val="28"/>
          <w:u w:val="single"/>
        </w:rPr>
        <w:t>学术、科研等方面取得突出成绩</w:t>
      </w:r>
      <w:r>
        <w:rPr>
          <w:rFonts w:hint="eastAsia" w:ascii="宋体" w:hAnsi="宋体" w:eastAsia="宋体" w:cs="宋体"/>
          <w:sz w:val="28"/>
          <w:szCs w:val="28"/>
        </w:rPr>
        <w:t>。</w:t>
      </w:r>
    </w:p>
    <w:p w14:paraId="7FB197B6">
      <w:pPr>
        <w:numPr>
          <w:ilvl w:val="0"/>
          <w:numId w:val="0"/>
        </w:numPr>
        <w:rPr>
          <w:rFonts w:hint="eastAsia" w:ascii="宋体" w:hAnsi="宋体" w:eastAsia="宋体" w:cs="宋体"/>
          <w:b/>
          <w:sz w:val="28"/>
          <w:szCs w:val="28"/>
        </w:rPr>
      </w:pPr>
      <w:r>
        <w:rPr>
          <w:rFonts w:hint="eastAsia" w:ascii="宋体" w:hAnsi="宋体" w:eastAsia="宋体" w:cs="宋体"/>
          <w:b/>
          <w:sz w:val="28"/>
          <w:szCs w:val="28"/>
          <w:lang w:eastAsia="zh-CN"/>
        </w:rPr>
        <w:t>五</w:t>
      </w:r>
      <w:r>
        <w:rPr>
          <w:rFonts w:hint="eastAsia" w:ascii="宋体" w:hAnsi="宋体" w:eastAsia="宋体" w:cs="宋体"/>
          <w:b/>
          <w:sz w:val="28"/>
          <w:szCs w:val="28"/>
        </w:rPr>
        <w:t>、评选程序</w:t>
      </w:r>
    </w:p>
    <w:p w14:paraId="32943901">
      <w:pPr>
        <w:numPr>
          <w:ilvl w:val="0"/>
          <w:numId w:val="0"/>
        </w:numPr>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学生本人申请，各系所（单位）推荐，土木学院（单位）初审；</w:t>
      </w:r>
    </w:p>
    <w:p w14:paraId="4CA09804">
      <w:pPr>
        <w:numPr>
          <w:ilvl w:val="0"/>
          <w:numId w:val="0"/>
        </w:numPr>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土木学院（单位）向管理委员会推荐候选人员名单；</w:t>
      </w:r>
    </w:p>
    <w:p w14:paraId="6B5DC17D">
      <w:pPr>
        <w:numPr>
          <w:ilvl w:val="0"/>
          <w:numId w:val="0"/>
        </w:numPr>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管理委员会审批，公示后奖励。</w:t>
      </w:r>
    </w:p>
    <w:p w14:paraId="06D62D55">
      <w:pPr>
        <w:numPr>
          <w:ilvl w:val="0"/>
          <w:numId w:val="0"/>
        </w:numPr>
        <w:rPr>
          <w:rFonts w:hint="eastAsia" w:ascii="宋体" w:hAnsi="宋体" w:eastAsia="宋体" w:cs="宋体"/>
          <w:sz w:val="28"/>
          <w:szCs w:val="28"/>
          <w:lang w:val="en-US" w:eastAsia="zh-CN"/>
        </w:rPr>
      </w:pPr>
    </w:p>
    <w:p w14:paraId="133004C0">
      <w:r>
        <w:rPr>
          <w:rFonts w:hint="eastAsia"/>
          <w:highlight w:val="none"/>
        </w:rPr>
        <w:br w:type="page"/>
      </w:r>
    </w:p>
    <w:p w14:paraId="680928BA">
      <w:pPr>
        <w:spacing w:line="360" w:lineRule="auto"/>
        <w:ind w:firstLine="480" w:firstLineChars="200"/>
        <w:rPr>
          <w:rFonts w:hint="eastAsia" w:ascii="宋体" w:hAnsi="宋体"/>
          <w:sz w:val="24"/>
          <w:highlight w:val="none"/>
          <w:lang w:eastAsia="zh-CN"/>
        </w:rPr>
      </w:pPr>
    </w:p>
    <w:sectPr>
      <w:footerReference r:id="rId11" w:type="default"/>
      <w:pgSz w:w="11906" w:h="16838"/>
      <w:pgMar w:top="1531" w:right="1474" w:bottom="1531"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楷体">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490C3">
    <w:pPr>
      <w:pStyle w:val="13"/>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DDF5A">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0DDF5A">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018057C6">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EBE9C">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093D">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A98E4">
    <w:pPr>
      <w:pStyle w:val="13"/>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36427E">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36427E">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F74D0">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7E03D">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3057C">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013D5E"/>
    <w:multiLevelType w:val="singleLevel"/>
    <w:tmpl w:val="DB013D5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5ZDEyODhiZmY2MDM2M2Q5ZDhiMGEyYzMzZTg0M2MifQ=="/>
  </w:docVars>
  <w:rsids>
    <w:rsidRoot w:val="004301BB"/>
    <w:rsid w:val="0000608D"/>
    <w:rsid w:val="000156FA"/>
    <w:rsid w:val="00034B9E"/>
    <w:rsid w:val="00063B8A"/>
    <w:rsid w:val="00082910"/>
    <w:rsid w:val="000916F5"/>
    <w:rsid w:val="0009220C"/>
    <w:rsid w:val="00093AC9"/>
    <w:rsid w:val="000A3A6A"/>
    <w:rsid w:val="000B59E6"/>
    <w:rsid w:val="000D006C"/>
    <w:rsid w:val="000D1602"/>
    <w:rsid w:val="000D591F"/>
    <w:rsid w:val="000E2530"/>
    <w:rsid w:val="000E6D78"/>
    <w:rsid w:val="00100BAA"/>
    <w:rsid w:val="00124917"/>
    <w:rsid w:val="0013265D"/>
    <w:rsid w:val="001339F3"/>
    <w:rsid w:val="00137969"/>
    <w:rsid w:val="00141BC5"/>
    <w:rsid w:val="00155485"/>
    <w:rsid w:val="001636BF"/>
    <w:rsid w:val="00164AD2"/>
    <w:rsid w:val="00196485"/>
    <w:rsid w:val="001B0225"/>
    <w:rsid w:val="001B1325"/>
    <w:rsid w:val="001B743A"/>
    <w:rsid w:val="001C00CC"/>
    <w:rsid w:val="001F2302"/>
    <w:rsid w:val="001F5150"/>
    <w:rsid w:val="00201796"/>
    <w:rsid w:val="00225C2D"/>
    <w:rsid w:val="002348D1"/>
    <w:rsid w:val="00251216"/>
    <w:rsid w:val="00252EE0"/>
    <w:rsid w:val="0026710F"/>
    <w:rsid w:val="00281572"/>
    <w:rsid w:val="00291F30"/>
    <w:rsid w:val="002A3D17"/>
    <w:rsid w:val="002A54A4"/>
    <w:rsid w:val="002A7800"/>
    <w:rsid w:val="002B2105"/>
    <w:rsid w:val="002C51B7"/>
    <w:rsid w:val="002D077E"/>
    <w:rsid w:val="002D4318"/>
    <w:rsid w:val="002E2137"/>
    <w:rsid w:val="002E70AB"/>
    <w:rsid w:val="002E7A4F"/>
    <w:rsid w:val="002F1F82"/>
    <w:rsid w:val="00300AFB"/>
    <w:rsid w:val="00303C8E"/>
    <w:rsid w:val="003209C2"/>
    <w:rsid w:val="00350844"/>
    <w:rsid w:val="003540F3"/>
    <w:rsid w:val="003652D2"/>
    <w:rsid w:val="003746BE"/>
    <w:rsid w:val="003828C1"/>
    <w:rsid w:val="00383B96"/>
    <w:rsid w:val="0038743A"/>
    <w:rsid w:val="003C0B92"/>
    <w:rsid w:val="003C29BE"/>
    <w:rsid w:val="003C6EFE"/>
    <w:rsid w:val="003F38BA"/>
    <w:rsid w:val="00401E59"/>
    <w:rsid w:val="00412324"/>
    <w:rsid w:val="00425CEB"/>
    <w:rsid w:val="004301BB"/>
    <w:rsid w:val="00442F07"/>
    <w:rsid w:val="004462E8"/>
    <w:rsid w:val="0045620F"/>
    <w:rsid w:val="0046317A"/>
    <w:rsid w:val="0047600D"/>
    <w:rsid w:val="004777D7"/>
    <w:rsid w:val="004828B9"/>
    <w:rsid w:val="00492379"/>
    <w:rsid w:val="00492F50"/>
    <w:rsid w:val="0049574A"/>
    <w:rsid w:val="004A6CDE"/>
    <w:rsid w:val="004B1F6E"/>
    <w:rsid w:val="004D023D"/>
    <w:rsid w:val="004D48C0"/>
    <w:rsid w:val="004D75F1"/>
    <w:rsid w:val="004E0097"/>
    <w:rsid w:val="004F270A"/>
    <w:rsid w:val="005201C0"/>
    <w:rsid w:val="00520503"/>
    <w:rsid w:val="00520E17"/>
    <w:rsid w:val="00523BCD"/>
    <w:rsid w:val="00525C8C"/>
    <w:rsid w:val="00525D7E"/>
    <w:rsid w:val="005275B3"/>
    <w:rsid w:val="00530DCC"/>
    <w:rsid w:val="0053695A"/>
    <w:rsid w:val="00545599"/>
    <w:rsid w:val="00551EFE"/>
    <w:rsid w:val="0056658F"/>
    <w:rsid w:val="00580087"/>
    <w:rsid w:val="005817CF"/>
    <w:rsid w:val="00581A9C"/>
    <w:rsid w:val="00612BF6"/>
    <w:rsid w:val="00641F02"/>
    <w:rsid w:val="00645D2D"/>
    <w:rsid w:val="006541F4"/>
    <w:rsid w:val="0067262C"/>
    <w:rsid w:val="00675CB2"/>
    <w:rsid w:val="00681F6C"/>
    <w:rsid w:val="00682F8C"/>
    <w:rsid w:val="00684A5A"/>
    <w:rsid w:val="006C3479"/>
    <w:rsid w:val="006F3E6E"/>
    <w:rsid w:val="00715EE6"/>
    <w:rsid w:val="0072550F"/>
    <w:rsid w:val="00727482"/>
    <w:rsid w:val="00732019"/>
    <w:rsid w:val="00742BE6"/>
    <w:rsid w:val="007516E6"/>
    <w:rsid w:val="00755149"/>
    <w:rsid w:val="00761859"/>
    <w:rsid w:val="00762C69"/>
    <w:rsid w:val="0076542D"/>
    <w:rsid w:val="00770E90"/>
    <w:rsid w:val="00797761"/>
    <w:rsid w:val="007B084B"/>
    <w:rsid w:val="007B3004"/>
    <w:rsid w:val="007B5B1E"/>
    <w:rsid w:val="007C50A8"/>
    <w:rsid w:val="007D0FB7"/>
    <w:rsid w:val="007E224D"/>
    <w:rsid w:val="007F328D"/>
    <w:rsid w:val="007F61A1"/>
    <w:rsid w:val="00801290"/>
    <w:rsid w:val="00814B58"/>
    <w:rsid w:val="008265ED"/>
    <w:rsid w:val="00834DFE"/>
    <w:rsid w:val="00834F06"/>
    <w:rsid w:val="00842659"/>
    <w:rsid w:val="0085021A"/>
    <w:rsid w:val="0089374D"/>
    <w:rsid w:val="008B5C54"/>
    <w:rsid w:val="008C3722"/>
    <w:rsid w:val="008D04F2"/>
    <w:rsid w:val="008D553E"/>
    <w:rsid w:val="008D5926"/>
    <w:rsid w:val="008E2485"/>
    <w:rsid w:val="008E26D5"/>
    <w:rsid w:val="008E3946"/>
    <w:rsid w:val="008F2D66"/>
    <w:rsid w:val="008F7639"/>
    <w:rsid w:val="00905A80"/>
    <w:rsid w:val="009402CF"/>
    <w:rsid w:val="009501F2"/>
    <w:rsid w:val="00957FFD"/>
    <w:rsid w:val="00966121"/>
    <w:rsid w:val="00974436"/>
    <w:rsid w:val="00993B72"/>
    <w:rsid w:val="009A2D1F"/>
    <w:rsid w:val="009B0E49"/>
    <w:rsid w:val="009B1043"/>
    <w:rsid w:val="009B6781"/>
    <w:rsid w:val="009C27DD"/>
    <w:rsid w:val="009D455A"/>
    <w:rsid w:val="009E3A1F"/>
    <w:rsid w:val="009F3853"/>
    <w:rsid w:val="00A06C6A"/>
    <w:rsid w:val="00A11001"/>
    <w:rsid w:val="00A322AE"/>
    <w:rsid w:val="00A330B0"/>
    <w:rsid w:val="00A5082B"/>
    <w:rsid w:val="00A52FA7"/>
    <w:rsid w:val="00A615D1"/>
    <w:rsid w:val="00A61F61"/>
    <w:rsid w:val="00A71659"/>
    <w:rsid w:val="00A76875"/>
    <w:rsid w:val="00A85A99"/>
    <w:rsid w:val="00AA0382"/>
    <w:rsid w:val="00AA29BE"/>
    <w:rsid w:val="00AA7E66"/>
    <w:rsid w:val="00AB2345"/>
    <w:rsid w:val="00AD2CC1"/>
    <w:rsid w:val="00AD5E3D"/>
    <w:rsid w:val="00AE3892"/>
    <w:rsid w:val="00AF37D4"/>
    <w:rsid w:val="00B14335"/>
    <w:rsid w:val="00B21E0F"/>
    <w:rsid w:val="00B56186"/>
    <w:rsid w:val="00B60984"/>
    <w:rsid w:val="00B90722"/>
    <w:rsid w:val="00BA0A32"/>
    <w:rsid w:val="00BA52AF"/>
    <w:rsid w:val="00BB5455"/>
    <w:rsid w:val="00BC5C80"/>
    <w:rsid w:val="00BD7A35"/>
    <w:rsid w:val="00BE239F"/>
    <w:rsid w:val="00BE42FB"/>
    <w:rsid w:val="00C0377C"/>
    <w:rsid w:val="00C1763D"/>
    <w:rsid w:val="00C27CF0"/>
    <w:rsid w:val="00C35E93"/>
    <w:rsid w:val="00C473B9"/>
    <w:rsid w:val="00C629A2"/>
    <w:rsid w:val="00C73DCE"/>
    <w:rsid w:val="00C80B1A"/>
    <w:rsid w:val="00C966CD"/>
    <w:rsid w:val="00CA1133"/>
    <w:rsid w:val="00CA7AD7"/>
    <w:rsid w:val="00CC3901"/>
    <w:rsid w:val="00CD2A82"/>
    <w:rsid w:val="00D017B0"/>
    <w:rsid w:val="00D05628"/>
    <w:rsid w:val="00D20429"/>
    <w:rsid w:val="00D30605"/>
    <w:rsid w:val="00D41646"/>
    <w:rsid w:val="00D41B19"/>
    <w:rsid w:val="00D41C05"/>
    <w:rsid w:val="00D51090"/>
    <w:rsid w:val="00D57D65"/>
    <w:rsid w:val="00D603AF"/>
    <w:rsid w:val="00D632A3"/>
    <w:rsid w:val="00D776D9"/>
    <w:rsid w:val="00D94B76"/>
    <w:rsid w:val="00DA070E"/>
    <w:rsid w:val="00DA1726"/>
    <w:rsid w:val="00DA3933"/>
    <w:rsid w:val="00DA3FF2"/>
    <w:rsid w:val="00DC6AB8"/>
    <w:rsid w:val="00DD2A20"/>
    <w:rsid w:val="00DD4890"/>
    <w:rsid w:val="00DF2A50"/>
    <w:rsid w:val="00DF6633"/>
    <w:rsid w:val="00DF713E"/>
    <w:rsid w:val="00DF7667"/>
    <w:rsid w:val="00E10ED3"/>
    <w:rsid w:val="00E21F24"/>
    <w:rsid w:val="00E26C59"/>
    <w:rsid w:val="00E5310C"/>
    <w:rsid w:val="00E56215"/>
    <w:rsid w:val="00E64D9B"/>
    <w:rsid w:val="00E731F1"/>
    <w:rsid w:val="00E80F45"/>
    <w:rsid w:val="00E86311"/>
    <w:rsid w:val="00EA1442"/>
    <w:rsid w:val="00EA4B99"/>
    <w:rsid w:val="00EB39F1"/>
    <w:rsid w:val="00EB5D4D"/>
    <w:rsid w:val="00EC3E6D"/>
    <w:rsid w:val="00EC4CAE"/>
    <w:rsid w:val="00ED423B"/>
    <w:rsid w:val="00F077A3"/>
    <w:rsid w:val="00F1104C"/>
    <w:rsid w:val="00F11A0C"/>
    <w:rsid w:val="00F242D7"/>
    <w:rsid w:val="00F35F61"/>
    <w:rsid w:val="00F6544A"/>
    <w:rsid w:val="00F73E12"/>
    <w:rsid w:val="00F824E8"/>
    <w:rsid w:val="00F91EA7"/>
    <w:rsid w:val="00F9638B"/>
    <w:rsid w:val="00FA1D88"/>
    <w:rsid w:val="00FA3148"/>
    <w:rsid w:val="00FC3D85"/>
    <w:rsid w:val="00FD28F1"/>
    <w:rsid w:val="00FD39E7"/>
    <w:rsid w:val="01761FD0"/>
    <w:rsid w:val="019F716A"/>
    <w:rsid w:val="030B650C"/>
    <w:rsid w:val="04DF5545"/>
    <w:rsid w:val="0A065C97"/>
    <w:rsid w:val="0C002C9E"/>
    <w:rsid w:val="0DB55A7E"/>
    <w:rsid w:val="12CA1191"/>
    <w:rsid w:val="133D3B33"/>
    <w:rsid w:val="140763E1"/>
    <w:rsid w:val="16BD3AAF"/>
    <w:rsid w:val="1763654B"/>
    <w:rsid w:val="181B525E"/>
    <w:rsid w:val="1AF82023"/>
    <w:rsid w:val="1B1F0F88"/>
    <w:rsid w:val="2090081A"/>
    <w:rsid w:val="28464A4E"/>
    <w:rsid w:val="2D256324"/>
    <w:rsid w:val="335F00B6"/>
    <w:rsid w:val="36F21768"/>
    <w:rsid w:val="376E2676"/>
    <w:rsid w:val="38194F3B"/>
    <w:rsid w:val="3BF42EF3"/>
    <w:rsid w:val="3C9202F6"/>
    <w:rsid w:val="3FE14AD3"/>
    <w:rsid w:val="408C641E"/>
    <w:rsid w:val="415D6C67"/>
    <w:rsid w:val="43F276C8"/>
    <w:rsid w:val="49410093"/>
    <w:rsid w:val="4FA930E5"/>
    <w:rsid w:val="51FE3A4A"/>
    <w:rsid w:val="58CD77EE"/>
    <w:rsid w:val="5B123301"/>
    <w:rsid w:val="5C6D3959"/>
    <w:rsid w:val="654A3E4A"/>
    <w:rsid w:val="6CEC5479"/>
    <w:rsid w:val="6DB06530"/>
    <w:rsid w:val="6E691BA5"/>
    <w:rsid w:val="70FB6E48"/>
    <w:rsid w:val="717F2C86"/>
    <w:rsid w:val="73232EB9"/>
    <w:rsid w:val="749565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29"/>
    <w:qFormat/>
    <w:uiPriority w:val="9"/>
    <w:pPr>
      <w:keepNext/>
      <w:keepLines/>
      <w:spacing w:after="50" w:afterLines="50"/>
      <w:jc w:val="center"/>
      <w:outlineLvl w:val="0"/>
    </w:pPr>
    <w:rPr>
      <w:rFonts w:eastAsia="方正小标宋简体"/>
      <w:bCs/>
      <w:kern w:val="44"/>
      <w:sz w:val="32"/>
      <w:szCs w:val="44"/>
    </w:rPr>
  </w:style>
  <w:style w:type="paragraph" w:styleId="3">
    <w:name w:val="heading 2"/>
    <w:basedOn w:val="1"/>
    <w:next w:val="1"/>
    <w:link w:val="30"/>
    <w:unhideWhenUsed/>
    <w:qFormat/>
    <w:uiPriority w:val="9"/>
    <w:pPr>
      <w:keepNext/>
      <w:keepLines/>
      <w:ind w:firstLine="0" w:firstLineChars="0"/>
      <w:jc w:val="left"/>
      <w:outlineLvl w:val="1"/>
    </w:pPr>
    <w:rPr>
      <w:rFonts w:eastAsia="黑体" w:cstheme="majorBidi"/>
      <w:b/>
      <w:bCs/>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unhideWhenUsed/>
    <w:qFormat/>
    <w:uiPriority w:val="39"/>
    <w:pPr>
      <w:spacing w:line="240" w:lineRule="auto"/>
      <w:ind w:left="2520" w:leftChars="1200" w:firstLine="0" w:firstLineChars="0"/>
    </w:pPr>
    <w:rPr>
      <w:rFonts w:asciiTheme="minorHAnsi" w:hAnsiTheme="minorHAnsi" w:eastAsiaTheme="minorEastAsia"/>
      <w:sz w:val="21"/>
    </w:rPr>
  </w:style>
  <w:style w:type="paragraph" w:styleId="5">
    <w:name w:val="annotation text"/>
    <w:basedOn w:val="1"/>
    <w:link w:val="38"/>
    <w:semiHidden/>
    <w:unhideWhenUsed/>
    <w:qFormat/>
    <w:uiPriority w:val="99"/>
    <w:pPr>
      <w:spacing w:line="240" w:lineRule="auto"/>
      <w:ind w:firstLine="0" w:firstLineChars="0"/>
      <w:jc w:val="left"/>
    </w:pPr>
    <w:rPr>
      <w:rFonts w:asciiTheme="minorHAnsi" w:hAnsiTheme="minorHAnsi" w:eastAsiaTheme="minorEastAsia"/>
      <w:sz w:val="21"/>
    </w:rPr>
  </w:style>
  <w:style w:type="paragraph" w:styleId="6">
    <w:name w:val="Salutation"/>
    <w:basedOn w:val="1"/>
    <w:next w:val="1"/>
    <w:qFormat/>
    <w:uiPriority w:val="0"/>
    <w:pPr>
      <w:widowControl w:val="0"/>
      <w:jc w:val="both"/>
    </w:pPr>
    <w:rPr>
      <w:kern w:val="2"/>
      <w:sz w:val="21"/>
      <w:lang w:eastAsia="zh-CN"/>
    </w:rPr>
  </w:style>
  <w:style w:type="paragraph" w:styleId="7">
    <w:name w:val="Body Text"/>
    <w:basedOn w:val="1"/>
    <w:link w:val="37"/>
    <w:semiHidden/>
    <w:unhideWhenUsed/>
    <w:qFormat/>
    <w:uiPriority w:val="99"/>
    <w:pPr>
      <w:spacing w:after="120"/>
    </w:pPr>
  </w:style>
  <w:style w:type="paragraph" w:styleId="8">
    <w:name w:val="Body Text Indent"/>
    <w:basedOn w:val="1"/>
    <w:link w:val="33"/>
    <w:qFormat/>
    <w:uiPriority w:val="0"/>
    <w:pPr>
      <w:spacing w:line="312" w:lineRule="auto"/>
      <w:ind w:firstLine="426" w:firstLineChars="0"/>
    </w:pPr>
    <w:rPr>
      <w:rFonts w:cs="Times New Roman"/>
      <w:sz w:val="21"/>
      <w:szCs w:val="24"/>
    </w:rPr>
  </w:style>
  <w:style w:type="paragraph" w:styleId="9">
    <w:name w:val="toc 5"/>
    <w:basedOn w:val="1"/>
    <w:next w:val="1"/>
    <w:unhideWhenUsed/>
    <w:qFormat/>
    <w:uiPriority w:val="39"/>
    <w:pPr>
      <w:spacing w:line="240" w:lineRule="auto"/>
      <w:ind w:left="1680" w:leftChars="800" w:firstLine="0" w:firstLineChars="0"/>
    </w:pPr>
    <w:rPr>
      <w:rFonts w:asciiTheme="minorHAnsi" w:hAnsiTheme="minorHAnsi" w:eastAsiaTheme="minorEastAsia"/>
      <w:sz w:val="21"/>
    </w:rPr>
  </w:style>
  <w:style w:type="paragraph" w:styleId="10">
    <w:name w:val="toc 3"/>
    <w:basedOn w:val="1"/>
    <w:next w:val="1"/>
    <w:unhideWhenUsed/>
    <w:qFormat/>
    <w:uiPriority w:val="39"/>
    <w:pPr>
      <w:spacing w:line="240" w:lineRule="auto"/>
      <w:ind w:left="840" w:leftChars="400" w:firstLine="0" w:firstLineChars="0"/>
    </w:pPr>
    <w:rPr>
      <w:rFonts w:asciiTheme="minorHAnsi" w:hAnsiTheme="minorHAnsi" w:eastAsiaTheme="minorEastAsia"/>
      <w:sz w:val="21"/>
    </w:rPr>
  </w:style>
  <w:style w:type="paragraph" w:styleId="11">
    <w:name w:val="toc 8"/>
    <w:basedOn w:val="1"/>
    <w:next w:val="1"/>
    <w:unhideWhenUsed/>
    <w:qFormat/>
    <w:uiPriority w:val="39"/>
    <w:pPr>
      <w:spacing w:line="240" w:lineRule="auto"/>
      <w:ind w:left="2940" w:leftChars="1400" w:firstLine="0" w:firstLineChars="0"/>
    </w:pPr>
    <w:rPr>
      <w:rFonts w:asciiTheme="minorHAnsi" w:hAnsiTheme="minorHAnsi" w:eastAsiaTheme="minorEastAsia"/>
      <w:sz w:val="21"/>
    </w:rPr>
  </w:style>
  <w:style w:type="paragraph" w:styleId="12">
    <w:name w:val="Balloon Text"/>
    <w:basedOn w:val="1"/>
    <w:link w:val="31"/>
    <w:semiHidden/>
    <w:unhideWhenUsed/>
    <w:qFormat/>
    <w:uiPriority w:val="99"/>
    <w:pPr>
      <w:spacing w:line="240" w:lineRule="auto"/>
    </w:pPr>
    <w:rPr>
      <w:sz w:val="18"/>
      <w:szCs w:val="18"/>
    </w:rPr>
  </w:style>
  <w:style w:type="paragraph" w:styleId="13">
    <w:name w:val="footer"/>
    <w:basedOn w:val="1"/>
    <w:link w:val="28"/>
    <w:unhideWhenUsed/>
    <w:qFormat/>
    <w:uiPriority w:val="99"/>
    <w:pPr>
      <w:tabs>
        <w:tab w:val="center" w:pos="4153"/>
        <w:tab w:val="right" w:pos="8306"/>
      </w:tabs>
      <w:snapToGrid w:val="0"/>
      <w:jc w:val="left"/>
    </w:pPr>
    <w:rPr>
      <w:sz w:val="18"/>
      <w:szCs w:val="18"/>
    </w:rPr>
  </w:style>
  <w:style w:type="paragraph" w:styleId="14">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toc 4"/>
    <w:basedOn w:val="1"/>
    <w:next w:val="1"/>
    <w:unhideWhenUsed/>
    <w:qFormat/>
    <w:uiPriority w:val="39"/>
    <w:pPr>
      <w:spacing w:line="240" w:lineRule="auto"/>
      <w:ind w:left="1260" w:leftChars="600" w:firstLine="0" w:firstLineChars="0"/>
    </w:pPr>
    <w:rPr>
      <w:rFonts w:asciiTheme="minorHAnsi" w:hAnsiTheme="minorHAnsi" w:eastAsiaTheme="minorEastAsia"/>
      <w:sz w:val="21"/>
    </w:rPr>
  </w:style>
  <w:style w:type="paragraph" w:styleId="17">
    <w:name w:val="toc 6"/>
    <w:basedOn w:val="1"/>
    <w:next w:val="1"/>
    <w:unhideWhenUsed/>
    <w:qFormat/>
    <w:uiPriority w:val="39"/>
    <w:pPr>
      <w:spacing w:line="240" w:lineRule="auto"/>
      <w:ind w:left="2100" w:leftChars="1000" w:firstLine="0" w:firstLineChars="0"/>
    </w:pPr>
    <w:rPr>
      <w:rFonts w:asciiTheme="minorHAnsi" w:hAnsiTheme="minorHAnsi" w:eastAsiaTheme="minorEastAsia"/>
      <w:sz w:val="21"/>
    </w:rPr>
  </w:style>
  <w:style w:type="paragraph" w:styleId="18">
    <w:name w:val="toc 2"/>
    <w:basedOn w:val="1"/>
    <w:next w:val="1"/>
    <w:unhideWhenUsed/>
    <w:qFormat/>
    <w:uiPriority w:val="39"/>
    <w:pPr>
      <w:ind w:left="420" w:leftChars="200"/>
    </w:pPr>
  </w:style>
  <w:style w:type="paragraph" w:styleId="19">
    <w:name w:val="toc 9"/>
    <w:basedOn w:val="1"/>
    <w:next w:val="1"/>
    <w:unhideWhenUsed/>
    <w:qFormat/>
    <w:uiPriority w:val="39"/>
    <w:pPr>
      <w:spacing w:line="240" w:lineRule="auto"/>
      <w:ind w:left="3360" w:leftChars="1600" w:firstLine="0" w:firstLineChars="0"/>
    </w:pPr>
    <w:rPr>
      <w:rFonts w:asciiTheme="minorHAnsi" w:hAnsiTheme="minorHAnsi" w:eastAsiaTheme="minorEastAsia"/>
      <w:sz w:val="21"/>
    </w:rPr>
  </w:style>
  <w:style w:type="paragraph" w:styleId="20">
    <w:name w:val="Normal (Web)"/>
    <w:basedOn w:val="1"/>
    <w:qFormat/>
    <w:uiPriority w:val="99"/>
    <w:pPr>
      <w:spacing w:beforeAutospacing="1" w:afterAutospacing="1" w:line="240" w:lineRule="auto"/>
      <w:ind w:firstLine="0" w:firstLineChars="0"/>
      <w:jc w:val="left"/>
    </w:pPr>
    <w:rPr>
      <w:rFonts w:cs="Times New Roman" w:asciiTheme="minorHAnsi" w:hAnsiTheme="minorHAnsi" w:eastAsiaTheme="minorEastAsia"/>
      <w:kern w:val="0"/>
    </w:rPr>
  </w:style>
  <w:style w:type="paragraph" w:styleId="21">
    <w:name w:val="Title"/>
    <w:basedOn w:val="1"/>
    <w:next w:val="1"/>
    <w:link w:val="39"/>
    <w:qFormat/>
    <w:uiPriority w:val="0"/>
    <w:pPr>
      <w:spacing w:before="240" w:after="60" w:line="240" w:lineRule="auto"/>
      <w:ind w:firstLine="0" w:firstLineChars="0"/>
      <w:jc w:val="center"/>
      <w:outlineLvl w:val="0"/>
    </w:pPr>
    <w:rPr>
      <w:rFonts w:ascii="Cambria" w:hAnsi="Cambria" w:cs="黑体"/>
      <w:b/>
      <w:bCs/>
      <w:sz w:val="32"/>
      <w:szCs w:val="32"/>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Hyperlink"/>
    <w:basedOn w:val="24"/>
    <w:unhideWhenUsed/>
    <w:qFormat/>
    <w:uiPriority w:val="99"/>
    <w:rPr>
      <w:color w:val="0563C1" w:themeColor="hyperlink"/>
      <w:u w:val="single"/>
      <w14:textFill>
        <w14:solidFill>
          <w14:schemeClr w14:val="hlink"/>
        </w14:solidFill>
      </w14:textFill>
    </w:rPr>
  </w:style>
  <w:style w:type="character" w:customStyle="1" w:styleId="27">
    <w:name w:val="页眉 字符"/>
    <w:basedOn w:val="24"/>
    <w:link w:val="14"/>
    <w:qFormat/>
    <w:uiPriority w:val="99"/>
    <w:rPr>
      <w:sz w:val="18"/>
      <w:szCs w:val="18"/>
    </w:rPr>
  </w:style>
  <w:style w:type="character" w:customStyle="1" w:styleId="28">
    <w:name w:val="页脚 字符"/>
    <w:basedOn w:val="24"/>
    <w:link w:val="13"/>
    <w:qFormat/>
    <w:uiPriority w:val="99"/>
    <w:rPr>
      <w:sz w:val="18"/>
      <w:szCs w:val="18"/>
    </w:rPr>
  </w:style>
  <w:style w:type="character" w:customStyle="1" w:styleId="29">
    <w:name w:val="标题 1 字符"/>
    <w:basedOn w:val="24"/>
    <w:link w:val="2"/>
    <w:qFormat/>
    <w:uiPriority w:val="9"/>
    <w:rPr>
      <w:rFonts w:ascii="Times New Roman" w:hAnsi="Times New Roman" w:eastAsia="方正小标宋简体"/>
      <w:bCs/>
      <w:kern w:val="44"/>
      <w:sz w:val="32"/>
      <w:szCs w:val="44"/>
    </w:rPr>
  </w:style>
  <w:style w:type="character" w:customStyle="1" w:styleId="30">
    <w:name w:val="标题 2 字符"/>
    <w:basedOn w:val="24"/>
    <w:link w:val="3"/>
    <w:qFormat/>
    <w:uiPriority w:val="9"/>
    <w:rPr>
      <w:rFonts w:ascii="Times New Roman" w:hAnsi="Times New Roman" w:eastAsia="黑体" w:cstheme="majorBidi"/>
      <w:b/>
      <w:bCs/>
      <w:sz w:val="24"/>
      <w:szCs w:val="32"/>
    </w:rPr>
  </w:style>
  <w:style w:type="character" w:customStyle="1" w:styleId="31">
    <w:name w:val="批注框文本 字符"/>
    <w:basedOn w:val="24"/>
    <w:link w:val="12"/>
    <w:semiHidden/>
    <w:qFormat/>
    <w:uiPriority w:val="99"/>
    <w:rPr>
      <w:rFonts w:ascii="Times New Roman" w:hAnsi="Times New Roman" w:eastAsia="宋体"/>
      <w:sz w:val="18"/>
      <w:szCs w:val="18"/>
    </w:rPr>
  </w:style>
  <w:style w:type="paragraph" w:customStyle="1" w:styleId="32">
    <w:name w:val="Default"/>
    <w:qFormat/>
    <w:uiPriority w:val="0"/>
    <w:pPr>
      <w:widowControl w:val="0"/>
      <w:autoSpaceDE w:val="0"/>
      <w:autoSpaceDN w:val="0"/>
      <w:adjustRightInd w:val="0"/>
    </w:pPr>
    <w:rPr>
      <w:rFonts w:ascii="华文仿宋" w:hAnsi="Calibri" w:eastAsia="华文仿宋" w:cs="华文仿宋"/>
      <w:color w:val="000000"/>
      <w:kern w:val="0"/>
      <w:sz w:val="24"/>
      <w:szCs w:val="24"/>
      <w:lang w:val="en-US" w:eastAsia="zh-CN" w:bidi="ar-SA"/>
    </w:rPr>
  </w:style>
  <w:style w:type="character" w:customStyle="1" w:styleId="33">
    <w:name w:val="正文文本缩进 字符"/>
    <w:basedOn w:val="24"/>
    <w:link w:val="8"/>
    <w:qFormat/>
    <w:uiPriority w:val="0"/>
    <w:rPr>
      <w:rFonts w:ascii="Times New Roman" w:hAnsi="Times New Roman" w:eastAsia="宋体" w:cs="Times New Roman"/>
      <w:szCs w:val="24"/>
    </w:rPr>
  </w:style>
  <w:style w:type="paragraph" w:styleId="34">
    <w:name w:val="List Paragraph"/>
    <w:basedOn w:val="1"/>
    <w:qFormat/>
    <w:uiPriority w:val="34"/>
    <w:pPr>
      <w:spacing w:line="240" w:lineRule="auto"/>
      <w:ind w:firstLine="420"/>
    </w:pPr>
    <w:rPr>
      <w:rFonts w:asciiTheme="minorHAnsi" w:hAnsiTheme="minorHAnsi" w:eastAsiaTheme="minorEastAsia"/>
      <w:sz w:val="21"/>
    </w:rPr>
  </w:style>
  <w:style w:type="paragraph" w:styleId="35">
    <w:name w:val="No Spacing"/>
    <w:qFormat/>
    <w:uiPriority w:val="1"/>
    <w:pPr>
      <w:widowControl w:val="0"/>
      <w:ind w:firstLine="200" w:firstLineChars="200"/>
      <w:jc w:val="both"/>
    </w:pPr>
    <w:rPr>
      <w:rFonts w:ascii="Times New Roman" w:hAnsi="Times New Roman" w:eastAsia="宋体" w:cstheme="minorBidi"/>
      <w:kern w:val="2"/>
      <w:sz w:val="24"/>
      <w:szCs w:val="22"/>
      <w:lang w:val="en-US" w:eastAsia="zh-CN" w:bidi="ar-SA"/>
    </w:rPr>
  </w:style>
  <w:style w:type="paragraph" w:customStyle="1" w:styleId="36">
    <w:name w:val="TOC Heading"/>
    <w:basedOn w:val="2"/>
    <w:next w:val="1"/>
    <w:unhideWhenUsed/>
    <w:qFormat/>
    <w:uiPriority w:val="39"/>
    <w:pPr>
      <w:widowControl/>
      <w:spacing w:before="240" w:after="0" w:afterLines="0" w:line="259" w:lineRule="auto"/>
      <w:ind w:firstLine="0" w:firstLineChars="0"/>
      <w:jc w:val="left"/>
      <w:outlineLvl w:val="9"/>
    </w:pPr>
    <w:rPr>
      <w:rFonts w:asciiTheme="majorHAnsi" w:hAnsiTheme="majorHAnsi" w:eastAsiaTheme="majorEastAsia" w:cstheme="majorBidi"/>
      <w:bCs w:val="0"/>
      <w:color w:val="2E75B6" w:themeColor="accent1" w:themeShade="BF"/>
      <w:kern w:val="0"/>
      <w:szCs w:val="32"/>
    </w:rPr>
  </w:style>
  <w:style w:type="character" w:customStyle="1" w:styleId="37">
    <w:name w:val="正文文本 字符"/>
    <w:basedOn w:val="24"/>
    <w:link w:val="7"/>
    <w:semiHidden/>
    <w:qFormat/>
    <w:uiPriority w:val="99"/>
    <w:rPr>
      <w:rFonts w:ascii="Times New Roman" w:hAnsi="Times New Roman" w:eastAsia="宋体"/>
      <w:sz w:val="24"/>
    </w:rPr>
  </w:style>
  <w:style w:type="character" w:customStyle="1" w:styleId="38">
    <w:name w:val="批注文字 字符"/>
    <w:basedOn w:val="24"/>
    <w:link w:val="5"/>
    <w:semiHidden/>
    <w:qFormat/>
    <w:uiPriority w:val="99"/>
  </w:style>
  <w:style w:type="character" w:customStyle="1" w:styleId="39">
    <w:name w:val="标题 字符"/>
    <w:basedOn w:val="24"/>
    <w:link w:val="21"/>
    <w:qFormat/>
    <w:uiPriority w:val="0"/>
    <w:rPr>
      <w:rFonts w:ascii="Cambria" w:hAnsi="Cambria" w:eastAsia="宋体" w:cs="黑体"/>
      <w:b/>
      <w:bCs/>
      <w:sz w:val="32"/>
      <w:szCs w:val="32"/>
    </w:rPr>
  </w:style>
  <w:style w:type="table" w:customStyle="1" w:styleId="40">
    <w:name w:val="表样式"/>
    <w:basedOn w:val="22"/>
    <w:qFormat/>
    <w:uiPriority w:val="0"/>
    <w:pPr>
      <w:jc w:val="both"/>
    </w:pPr>
    <w:rPr>
      <w:rFonts w:ascii="Times New Roman" w:hAnsi="Times New Roman" w:eastAsia="宋体" w:cs="Times New Roman"/>
      <w:kern w:val="0"/>
      <w:sz w:val="18"/>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shd w:val="clear" w:color="auto" w:fill="auto"/>
      <w:vAlign w:val="center"/>
    </w:tc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599223-DF7E-44B7-8567-2471F702A9D2}">
  <ds:schemaRefs/>
</ds:datastoreItem>
</file>

<file path=docProps/app.xml><?xml version="1.0" encoding="utf-8"?>
<Properties xmlns="http://schemas.openxmlformats.org/officeDocument/2006/extended-properties" xmlns:vt="http://schemas.openxmlformats.org/officeDocument/2006/docPropsVTypes">
  <Template>Normal</Template>
  <Pages>18</Pages>
  <Words>42128</Words>
  <Characters>43737</Characters>
  <Lines>489</Lines>
  <Paragraphs>137</Paragraphs>
  <TotalTime>9</TotalTime>
  <ScaleCrop>false</ScaleCrop>
  <LinksUpToDate>false</LinksUpToDate>
  <CharactersWithSpaces>44650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2019-07-04T06:52:00Z</dcterms:created>
  <dc:creator>user</dc:creator>
  <cp:lastModifiedBy>Hou Yiping</cp:lastModifiedBy>
  <cp:lastPrinted>2020-10-15T08:01:00Z</cp:lastPrinted>
  <dcterms:modified xsi:type="dcterms:W3CDTF">2025-10-24T02:48:16Z</dcterms:modified>
  <cp:revision>334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0055BFA8DDA54DCEA50D402F68969E6D_13</vt:lpwstr>
  </property>
  <property fmtid="{D5CDD505-2E9C-101B-9397-08002B2CF9AE}" pid="4" name="KSOTemplateDocerSaveRecord">
    <vt:lpwstr>eyJoZGlkIjoiYWNiYTQ2OWJmNjNmYTYzM2E4YjUxZjFiYThiZGYxNjUiLCJ1c2VySWQiOiI1NTc2MzA5NzMifQ==</vt:lpwstr>
  </property>
</Properties>
</file>