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/>
        <w:jc w:val="center"/>
        <w:rPr>
          <w:rFonts w:ascii="Times New Roman" w:hAnsi="Times New Roman" w:eastAsia="方正小标宋简体"/>
          <w:b/>
          <w:sz w:val="32"/>
        </w:rPr>
      </w:pPr>
      <w:r>
        <w:rPr>
          <w:rFonts w:hint="eastAsia" w:ascii="Times New Roman" w:hAnsi="Times New Roman" w:eastAsia="方正小标宋简体"/>
          <w:b/>
          <w:sz w:val="32"/>
        </w:rPr>
        <w:t>交通运输与物流学院本科生“十佳班集体”评选办法</w:t>
      </w:r>
    </w:p>
    <w:p>
      <w:pPr>
        <w:spacing w:before="312" w:beforeLines="100" w:after="312" w:afterLines="100"/>
        <w:jc w:val="center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第一章  总  则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第一条  为全面贯彻党的教育方针，落实立德树人根本任务，培养德、智、体、美、劳等方面全面发展的社会主义建设者和接班人，以服务学生为宗旨，依据教育法、高等教育法、普通高等学校学生管理规定等法律、法规、规定及学校章程，制定本办法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第二条  为培养学生团队合作意识，营造良好的学习氛围，增强班级的凝聚力，加强本科生班集体建设，每年以班级为单位组织开展交通运输与物流学院本科生“十佳班集体”评选活动，充分发挥学生班集体在教育和管理中的重要作用，促进班风学风持续稳步向好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第三条  荣誉称号评审坚持“公平、公正、公开”原则。</w:t>
      </w:r>
    </w:p>
    <w:p>
      <w:pPr>
        <w:spacing w:before="312" w:beforeLines="100" w:after="312" w:afterLines="100"/>
        <w:jc w:val="center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第二章  基本条件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第四条  参加“十佳班集体”评选的班级应当具备以下基本条件：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（一）班级同学拥护中国共产党领导，坚持四项基本原则，树立爱国主义思想，树立中国特色社会主义共同理想，积极弘扬和践行社会主义核心价值观；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（二）班级组织机构健全，班干部以身作则，并在班级建设中起到模范带头作用；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（三）班风学风优良，班级同学学习勤奋刻苦，寝室文化和谐向上；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（四）积极组织开展有益同学身心健康、成长成才的学术、科技、文艺、体育等活动；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（五）班级同学遵守宪法、法律、法规，遵守学校章程和规章制度，在参评学年和评优工作周期内没有受学籍处理和纪律处分的情况；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（六）班级同学在学习成绩、科技竞赛、志愿服务、公益活动、社会实践、创新创业、学生活动、宿舍卫生等某一方面或多方面成绩突出。</w:t>
      </w:r>
    </w:p>
    <w:p>
      <w:pPr>
        <w:spacing w:before="312" w:beforeLines="100" w:after="312" w:afterLines="100"/>
        <w:jc w:val="center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第三章 评选标准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第五条  评选对象为交通运输与物流学院大二、大三年级全体班级。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第六条  “十佳班集体”评选内容包括班级班风学风、科创竞赛、团体建设、文体活动等方面建设情况。评选以“十佳班集体”评选综合评价得分排名结果为依据进行。综合评价得分由基础得分、答辩展示得分和附加项加分构成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第七条  基础得分项各指标计算方法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（一）基础得分满分60分，以奖学金率、文明宿舍率、挂科率、优秀个人率作为基础考核指标。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（二）奖学金率是指</w:t>
      </w:r>
      <w:r>
        <w:rPr>
          <w:rFonts w:hint="eastAsia" w:ascii="Times New Roman" w:hAnsi="Times New Roman" w:cs="方正小标宋简体"/>
          <w:sz w:val="24"/>
        </w:rPr>
        <w:t>评</w:t>
      </w:r>
      <w:r>
        <w:rPr>
          <w:rFonts w:hint="eastAsia" w:ascii="Times New Roman" w:hAnsi="Times New Roman"/>
          <w:sz w:val="24"/>
        </w:rPr>
        <w:t>选</w:t>
      </w:r>
      <w:r>
        <w:rPr>
          <w:rFonts w:hint="eastAsia" w:ascii="Times New Roman" w:hAnsi="Times New Roman" w:cs="方正小标宋简体"/>
          <w:sz w:val="24"/>
        </w:rPr>
        <w:t>周期内</w:t>
      </w:r>
      <w:r>
        <w:rPr>
          <w:rFonts w:hint="eastAsia" w:ascii="Times New Roman" w:hAnsi="Times New Roman" w:cs="Times New Roman"/>
          <w:sz w:val="24"/>
        </w:rPr>
        <w:t>班级同学获得奖学金人次与班</w:t>
      </w:r>
      <w:r>
        <w:rPr>
          <w:rFonts w:hint="eastAsia" w:ascii="Times New Roman" w:hAnsi="Times New Roman"/>
          <w:sz w:val="24"/>
        </w:rPr>
        <w:t>级总人数的比</w:t>
      </w:r>
      <w:r>
        <w:rPr>
          <w:rFonts w:hint="eastAsia" w:ascii="Times New Roman" w:hAnsi="Times New Roman" w:cs="Times New Roman"/>
          <w:sz w:val="24"/>
        </w:rPr>
        <w:t>率。奖学金包括：国家奖学金、国家励志奖学金、专项奖助学金和综合奖学金，占基础得分中的15分，以排名第一班级为满分15分，依名次递减0.2分，以此类推。奖学金率计算方式为：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cs="Times New Roman"/>
          <w:sz w:val="24"/>
        </w:rPr>
      </w:pPr>
      <m:oMathPara>
        <m:oMath>
          <m:r>
            <m:rPr>
              <m:sty m:val="p"/>
            </m:rPr>
            <w:rPr>
              <w:rFonts w:hint="eastAsia" w:ascii="Cambria Math" w:hAnsi="Cambria Math" w:cs="Times New Roman"/>
              <w:sz w:val="24"/>
            </w:rPr>
            <m:t>奖学金率=</m:t>
          </m:r>
          <m:f>
            <m:fPr>
              <m:ctrlPr>
                <w:rPr>
                  <w:rFonts w:hint="eastAsia" w:ascii="Cambria Math" w:hAnsi="Cambria Math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eastAsia" w:ascii="Cambria Math" w:hAnsi="Cambria Math" w:cs="Times New Roman"/>
                  <w:sz w:val="24"/>
                </w:rPr>
                <m:t>班级获奖学金人次</m:t>
              </m:r>
              <m:ctrlPr>
                <w:rPr>
                  <w:rFonts w:hint="eastAsia" w:ascii="Cambria Math" w:hAnsi="Cambria Math" w:cs="Times New Roman"/>
                  <w:sz w:val="24"/>
                </w:rPr>
              </m:ctrlPr>
            </m:num>
            <m:den>
              <m:r>
                <m:rPr>
                  <m:sty m:val="p"/>
                </m:rPr>
                <w:rPr>
                  <w:rFonts w:hint="eastAsia" w:ascii="Cambria Math" w:hAnsi="Cambria Math" w:cs="Times New Roman"/>
                  <w:sz w:val="24"/>
                </w:rPr>
                <m:t>班级总人数</m:t>
              </m:r>
              <m:ctrlPr>
                <w:rPr>
                  <w:rFonts w:hint="eastAsia" w:ascii="Cambria Math" w:hAnsi="Cambria Math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eastAsia" w:ascii="Cambria Math" w:hAnsi="Cambria Math" w:cs="Times New Roman"/>
              <w:sz w:val="24"/>
            </w:rPr>
            <m:t>×100%</m:t>
          </m:r>
        </m:oMath>
      </m:oMathPara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（三）文明宿舍率是指</w:t>
      </w:r>
      <w:r>
        <w:rPr>
          <w:rFonts w:hint="eastAsia" w:ascii="Times New Roman" w:hAnsi="Times New Roman" w:cs="方正小标宋简体"/>
          <w:sz w:val="24"/>
        </w:rPr>
        <w:t>评</w:t>
      </w:r>
      <w:r>
        <w:rPr>
          <w:rFonts w:hint="eastAsia" w:ascii="Times New Roman" w:hAnsi="Times New Roman"/>
          <w:sz w:val="24"/>
        </w:rPr>
        <w:t>选</w:t>
      </w:r>
      <w:r>
        <w:rPr>
          <w:rFonts w:hint="eastAsia" w:ascii="Times New Roman" w:hAnsi="Times New Roman" w:cs="方正小标宋简体"/>
          <w:sz w:val="24"/>
        </w:rPr>
        <w:t>周期内</w:t>
      </w:r>
      <w:r>
        <w:rPr>
          <w:rFonts w:hint="eastAsia" w:ascii="Times New Roman" w:hAnsi="Times New Roman" w:cs="Times New Roman"/>
          <w:sz w:val="24"/>
        </w:rPr>
        <w:t>班级成员所在宿舍获得文明宿舍称号（不包括达标）的人数与班级总人数的比率，占基础得分中的15分。以排名第一班级为满分15分，依名次递减0.2分，以此类推。文明宿舍率计算方式为：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cs="Times New Roman"/>
          <w:sz w:val="24"/>
        </w:rPr>
      </w:pPr>
      <m:oMathPara>
        <m:oMath>
          <m:r>
            <m:rPr>
              <m:sty m:val="p"/>
            </m:rPr>
            <w:rPr>
              <w:rFonts w:hint="eastAsia" w:ascii="Cambria Math" w:hAnsi="Cambria Math" w:cs="Times New Roman"/>
              <w:sz w:val="24"/>
            </w:rPr>
            <m:t>文明宿舍率=</m:t>
          </m:r>
          <m:f>
            <m:fPr>
              <m:ctrlPr>
                <w:rPr>
                  <w:rFonts w:hint="eastAsia" w:ascii="Cambria Math" w:hAnsi="Cambria Math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eastAsia" w:ascii="Cambria Math" w:hAnsi="Cambria Math" w:cs="Times New Roman"/>
                  <w:sz w:val="24"/>
                </w:rPr>
                <m:t>班级文明宿舍人数</m:t>
              </m:r>
              <m:ctrlPr>
                <w:rPr>
                  <w:rFonts w:hint="eastAsia" w:ascii="Cambria Math" w:hAnsi="Cambria Math" w:cs="Times New Roman"/>
                  <w:sz w:val="24"/>
                </w:rPr>
              </m:ctrlPr>
            </m:num>
            <m:den>
              <m:r>
                <m:rPr>
                  <m:sty m:val="p"/>
                </m:rPr>
                <w:rPr>
                  <w:rFonts w:hint="eastAsia" w:ascii="Cambria Math" w:hAnsi="Cambria Math" w:cs="Times New Roman"/>
                  <w:sz w:val="24"/>
                </w:rPr>
                <m:t>班级总人数</m:t>
              </m:r>
              <m:ctrlPr>
                <w:rPr>
                  <w:rFonts w:hint="eastAsia" w:ascii="Cambria Math" w:hAnsi="Cambria Math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eastAsia" w:ascii="Cambria Math" w:hAnsi="Cambria Math" w:cs="Times New Roman"/>
              <w:sz w:val="24"/>
            </w:rPr>
            <m:t>×100%</m:t>
          </m:r>
        </m:oMath>
      </m:oMathPara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（四）挂科率是指</w:t>
      </w:r>
      <w:r>
        <w:rPr>
          <w:rFonts w:hint="eastAsia" w:ascii="Times New Roman" w:hAnsi="Times New Roman" w:cs="方正小标宋简体"/>
          <w:b/>
          <w:bCs/>
          <w:sz w:val="24"/>
        </w:rPr>
        <w:t>评</w:t>
      </w:r>
      <w:r>
        <w:rPr>
          <w:rFonts w:hint="eastAsia" w:ascii="Times New Roman" w:hAnsi="Times New Roman"/>
          <w:b/>
          <w:bCs/>
          <w:sz w:val="24"/>
        </w:rPr>
        <w:t>选</w:t>
      </w:r>
      <w:r>
        <w:rPr>
          <w:rFonts w:hint="eastAsia" w:ascii="Times New Roman" w:hAnsi="Times New Roman" w:cs="方正小标宋简体"/>
          <w:b/>
          <w:bCs/>
          <w:sz w:val="24"/>
        </w:rPr>
        <w:t>周期内</w:t>
      </w:r>
      <w:r>
        <w:rPr>
          <w:rFonts w:hint="eastAsia" w:ascii="Times New Roman" w:hAnsi="Times New Roman" w:cs="Times New Roman"/>
          <w:sz w:val="24"/>
        </w:rPr>
        <w:t>班级同学所修必修课和限选课（不包括选修课）出现挂科情况（正考及补考均未通过）的门次与所修必修课和限选课总门次的比率，占基础得分中的15分，排名第一班级为满分15分，依名次递减0.2分，以此类推。挂科率计算方式为：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cs="Times New Roman"/>
          <w:sz w:val="24"/>
        </w:rPr>
      </w:pPr>
      <m:oMathPara>
        <m:oMath>
          <m:r>
            <m:rPr>
              <m:sty m:val="p"/>
            </m:rPr>
            <w:rPr>
              <w:rFonts w:hint="eastAsia" w:ascii="Cambria Math" w:hAnsi="Cambria Math" w:cs="Times New Roman"/>
              <w:sz w:val="24"/>
            </w:rPr>
            <m:t>挂科率=</m:t>
          </m:r>
          <m:f>
            <m:fPr>
              <m:ctrlPr>
                <w:rPr>
                  <w:rFonts w:hint="eastAsia" w:ascii="Cambria Math" w:hAnsi="Cambria Math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eastAsia" w:ascii="Cambria Math" w:hAnsi="Cambria Math" w:cs="Times New Roman"/>
                  <w:sz w:val="24"/>
                </w:rPr>
                <m:t>班级挂科门次</m:t>
              </m:r>
              <m:ctrlPr>
                <w:rPr>
                  <w:rFonts w:hint="eastAsia" w:ascii="Cambria Math" w:hAnsi="Cambria Math" w:cs="Times New Roman"/>
                  <w:sz w:val="24"/>
                </w:rPr>
              </m:ctrlPr>
            </m:num>
            <m:den>
              <m:r>
                <m:rPr>
                  <m:sty m:val="p"/>
                </m:rPr>
                <w:rPr>
                  <w:rFonts w:hint="eastAsia" w:ascii="Cambria Math" w:hAnsi="Cambria Math" w:cs="Times New Roman"/>
                  <w:sz w:val="24"/>
                </w:rPr>
                <m:t>∑班级各成员修课门次</m:t>
              </m:r>
              <m:ctrlPr>
                <w:rPr>
                  <w:rFonts w:hint="eastAsia" w:ascii="Cambria Math" w:hAnsi="Cambria Math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eastAsia" w:ascii="Cambria Math" w:hAnsi="Cambria Math" w:cs="Times New Roman"/>
              <w:sz w:val="24"/>
            </w:rPr>
            <m:t>×100%</m:t>
          </m:r>
        </m:oMath>
      </m:oMathPara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cs="Times New Roman"/>
          <w:color w:val="FF0000"/>
          <w:sz w:val="24"/>
        </w:rPr>
      </w:pPr>
      <w:bookmarkStart w:id="0" w:name="_Hlk36972225"/>
      <w:bookmarkEnd w:id="0"/>
      <w:r>
        <w:rPr>
          <w:rFonts w:hint="eastAsia" w:ascii="Times New Roman" w:hAnsi="Times New Roman"/>
          <w:sz w:val="24"/>
        </w:rPr>
        <w:t>（五）优秀个人率</w:t>
      </w:r>
      <w:r>
        <w:rPr>
          <w:rFonts w:hint="eastAsia" w:ascii="Times New Roman" w:hAnsi="Times New Roman" w:cs="Times New Roman"/>
          <w:sz w:val="24"/>
        </w:rPr>
        <w:t>是</w:t>
      </w:r>
      <w:r>
        <w:rPr>
          <w:rFonts w:hint="eastAsia" w:ascii="Times New Roman" w:hAnsi="Times New Roman" w:cs="方正小标宋简体"/>
          <w:sz w:val="24"/>
        </w:rPr>
        <w:t>评</w:t>
      </w:r>
      <w:r>
        <w:rPr>
          <w:rFonts w:hint="eastAsia" w:ascii="Times New Roman" w:hAnsi="Times New Roman"/>
          <w:sz w:val="24"/>
        </w:rPr>
        <w:t>选</w:t>
      </w:r>
      <w:r>
        <w:rPr>
          <w:rFonts w:hint="eastAsia" w:ascii="Times New Roman" w:hAnsi="Times New Roman" w:cs="方正小标宋简体"/>
          <w:sz w:val="24"/>
        </w:rPr>
        <w:t>周期内</w:t>
      </w:r>
      <w:r>
        <w:rPr>
          <w:rFonts w:hint="eastAsia" w:ascii="Times New Roman" w:hAnsi="Times New Roman" w:cs="Times New Roman"/>
          <w:sz w:val="24"/>
        </w:rPr>
        <w:t>班级成员获得优秀个人荣誉人次与班级总人数的比率，每项算作一人次。优秀个人荣誉包括：</w:t>
      </w:r>
      <w:r>
        <w:rPr>
          <w:rFonts w:hint="eastAsia" w:ascii="Times New Roman" w:hAnsi="Times New Roman"/>
          <w:sz w:val="24"/>
        </w:rPr>
        <w:t>竢</w:t>
      </w:r>
      <w:r>
        <w:rPr>
          <w:rFonts w:hint="eastAsia" w:ascii="Times New Roman" w:hAnsi="Times New Roman" w:cs="方正小标宋简体"/>
          <w:sz w:val="24"/>
        </w:rPr>
        <w:t>实扬华奖章、三好学生标兵、三好学生、优秀学生干部、明诚奖、优秀共青团员、优秀共青团干部、优秀党员、优秀党务工作者、</w:t>
      </w:r>
      <w:r>
        <w:rPr>
          <w:rFonts w:hint="eastAsia" w:ascii="Times New Roman" w:hAnsi="Times New Roman"/>
          <w:sz w:val="24"/>
        </w:rPr>
        <w:t>社会实践先进个人、优秀青年志愿者</w:t>
      </w:r>
      <w:r>
        <w:rPr>
          <w:rFonts w:hint="eastAsia" w:ascii="Times New Roman" w:hAnsi="Times New Roman" w:cs="方正小标宋简体"/>
          <w:sz w:val="24"/>
        </w:rPr>
        <w:t>。优秀个人荣誉系评</w:t>
      </w:r>
      <w:r>
        <w:rPr>
          <w:rFonts w:hint="eastAsia" w:ascii="Times New Roman" w:hAnsi="Times New Roman"/>
          <w:sz w:val="24"/>
        </w:rPr>
        <w:t>选</w:t>
      </w:r>
      <w:r>
        <w:rPr>
          <w:rFonts w:hint="eastAsia" w:ascii="Times New Roman" w:hAnsi="Times New Roman" w:cs="方正小标宋简体"/>
          <w:sz w:val="24"/>
        </w:rPr>
        <w:t>周期内获得证书的优秀个人荣誉，占基础得分中的</w:t>
      </w:r>
      <w:r>
        <w:rPr>
          <w:rFonts w:hint="eastAsia" w:ascii="Times New Roman" w:hAnsi="Times New Roman" w:cs="Times New Roman"/>
          <w:sz w:val="24"/>
        </w:rPr>
        <w:t>15分，以排名第一班级为满分15分，依名次递减0.2分，以此类推。优秀个人率计算方式为：</w:t>
      </w:r>
    </w:p>
    <w:p>
      <w:pPr>
        <w:spacing w:before="312" w:beforeLines="100" w:after="312" w:afterLines="100" w:line="360" w:lineRule="auto"/>
        <w:ind w:left="1" w:hanging="1"/>
        <w:rPr>
          <w:rFonts w:ascii="Times New Roman" w:hAnsi="Times New Roman" w:cs="Times New Roman"/>
          <w:sz w:val="24"/>
        </w:rPr>
      </w:pPr>
      <m:oMathPara>
        <m:oMath>
          <m:r>
            <m:rPr>
              <m:sty m:val="p"/>
            </m:rPr>
            <w:rPr>
              <w:rFonts w:hint="eastAsia" w:ascii="Cambria Math" w:hAnsi="Cambria Math" w:cs="Times New Roman"/>
              <w:sz w:val="24"/>
            </w:rPr>
            <m:t>优秀个人率=</m:t>
          </m:r>
          <m:f>
            <m:fPr>
              <m:ctrlPr>
                <w:rPr>
                  <w:rFonts w:hint="eastAsia" w:ascii="Cambria Math" w:hAnsi="Cambria Math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eastAsia" w:ascii="Cambria Math" w:hAnsi="Cambria Math" w:cs="Times New Roman"/>
                  <w:sz w:val="24"/>
                </w:rPr>
                <m:t>班级优秀个人人次</m:t>
              </m:r>
              <m:ctrlPr>
                <w:rPr>
                  <w:rFonts w:hint="eastAsia" w:ascii="Cambria Math" w:hAnsi="Cambria Math" w:cs="Times New Roman"/>
                  <w:sz w:val="24"/>
                </w:rPr>
              </m:ctrlPr>
            </m:num>
            <m:den>
              <m:r>
                <m:rPr>
                  <m:sty m:val="p"/>
                </m:rPr>
                <w:rPr>
                  <w:rFonts w:hint="eastAsia" w:ascii="Cambria Math" w:hAnsi="Cambria Math" w:cs="Times New Roman"/>
                  <w:sz w:val="24"/>
                </w:rPr>
                <m:t>班级总人数</m:t>
              </m:r>
              <m:ctrlPr>
                <w:rPr>
                  <w:rFonts w:hint="eastAsia" w:ascii="Cambria Math" w:hAnsi="Cambria Math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eastAsia" w:ascii="Cambria Math" w:hAnsi="Cambria Math" w:cs="Times New Roman"/>
              <w:sz w:val="24"/>
            </w:rPr>
            <m:t>×100%</m:t>
          </m:r>
        </m:oMath>
      </m:oMathPara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eastAsia="方正小标宋简体"/>
          <w:b/>
          <w:sz w:val="24"/>
        </w:rPr>
      </w:pPr>
      <w:r>
        <w:rPr>
          <w:rFonts w:hint="eastAsia" w:ascii="Times New Roman" w:hAnsi="Times New Roman"/>
          <w:sz w:val="24"/>
        </w:rPr>
        <w:t>第八条  答辩及风采展示满分为100分，占最终总分的40%。答辩及风采展示主要考察党团组织建设、班风学风建设、日常管理规范、班级建设特色等方面。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第九条  附加项加分由学科竞赛加分、文体竞赛加分和集体比赛加分构成。加分直接加至总分，总加分不得超过3分。附加项加分标准如下：</w:t>
      </w:r>
    </w:p>
    <w:tbl>
      <w:tblPr>
        <w:tblStyle w:val="11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701"/>
        <w:gridCol w:w="5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254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附加项</w:t>
            </w:r>
          </w:p>
        </w:tc>
        <w:tc>
          <w:tcPr>
            <w:tcW w:w="58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科研竞赛加分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国家及国际级</w:t>
            </w:r>
          </w:p>
        </w:tc>
        <w:tc>
          <w:tcPr>
            <w:tcW w:w="58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一等：0.3分/人次；二等：0</w:t>
            </w:r>
            <w:r>
              <w:rPr>
                <w:rFonts w:ascii="Times New Roman" w:hAnsi="Times New Roman" w:cs="Times New Roman"/>
                <w:sz w:val="22"/>
              </w:rPr>
              <w:t>.28</w:t>
            </w:r>
            <w:r>
              <w:rPr>
                <w:rFonts w:hint="eastAsia" w:ascii="Times New Roman" w:hAnsi="Times New Roman" w:cs="Times New Roman"/>
                <w:sz w:val="22"/>
              </w:rPr>
              <w:t>分/人次；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三等：0</w:t>
            </w:r>
            <w:r>
              <w:rPr>
                <w:rFonts w:ascii="Times New Roman" w:hAnsi="Times New Roman" w:cs="Times New Roman"/>
                <w:sz w:val="22"/>
              </w:rPr>
              <w:t>.25</w:t>
            </w:r>
            <w:r>
              <w:rPr>
                <w:rFonts w:hint="eastAsia" w:ascii="Times New Roman" w:hAnsi="Times New Roman" w:cs="Times New Roman"/>
                <w:sz w:val="22"/>
              </w:rPr>
              <w:t>分/人次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省级与地区级</w:t>
            </w:r>
          </w:p>
        </w:tc>
        <w:tc>
          <w:tcPr>
            <w:tcW w:w="58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一等：0.2分/人次；二等：0.</w:t>
            </w:r>
            <w:r>
              <w:rPr>
                <w:rFonts w:ascii="Times New Roman" w:hAnsi="Times New Roman" w:cs="Times New Roman"/>
                <w:sz w:val="22"/>
              </w:rPr>
              <w:t>18</w:t>
            </w:r>
            <w:r>
              <w:rPr>
                <w:rFonts w:hint="eastAsia" w:ascii="Times New Roman" w:hAnsi="Times New Roman" w:cs="Times New Roman"/>
                <w:sz w:val="22"/>
              </w:rPr>
              <w:t>分/人次；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三等：0</w:t>
            </w:r>
            <w:r>
              <w:rPr>
                <w:rFonts w:ascii="Times New Roman" w:hAnsi="Times New Roman" w:cs="Times New Roman"/>
                <w:sz w:val="22"/>
              </w:rPr>
              <w:t>.15</w:t>
            </w:r>
            <w:r>
              <w:rPr>
                <w:rFonts w:hint="eastAsia" w:ascii="Times New Roman" w:hAnsi="Times New Roman" w:cs="Times New Roman"/>
                <w:sz w:val="22"/>
              </w:rPr>
              <w:t>分/人次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校级</w:t>
            </w:r>
          </w:p>
        </w:tc>
        <w:tc>
          <w:tcPr>
            <w:tcW w:w="58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一等：0.1分/人次；二等：0</w:t>
            </w:r>
            <w:r>
              <w:rPr>
                <w:rFonts w:ascii="Times New Roman" w:hAnsi="Times New Roman" w:cs="Times New Roman"/>
                <w:sz w:val="22"/>
              </w:rPr>
              <w:t>.08</w:t>
            </w:r>
            <w:r>
              <w:rPr>
                <w:rFonts w:hint="eastAsia" w:ascii="Times New Roman" w:hAnsi="Times New Roman" w:cs="Times New Roman"/>
                <w:sz w:val="22"/>
              </w:rPr>
              <w:t>分/人次；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三等：0</w:t>
            </w:r>
            <w:r>
              <w:rPr>
                <w:rFonts w:ascii="Times New Roman" w:hAnsi="Times New Roman" w:cs="Times New Roman"/>
                <w:sz w:val="22"/>
              </w:rPr>
              <w:t>.05</w:t>
            </w:r>
            <w:r>
              <w:rPr>
                <w:rFonts w:hint="eastAsia" w:ascii="Times New Roman" w:hAnsi="Times New Roman" w:cs="Times New Roman"/>
                <w:sz w:val="22"/>
              </w:rPr>
              <w:t>分/人次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文体竞赛加分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国家及国际级</w:t>
            </w:r>
          </w:p>
        </w:tc>
        <w:tc>
          <w:tcPr>
            <w:tcW w:w="58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一等：0.2分/人次；二等：0.</w:t>
            </w:r>
            <w:r>
              <w:rPr>
                <w:rFonts w:ascii="Times New Roman" w:hAnsi="Times New Roman" w:cs="Times New Roman"/>
                <w:sz w:val="22"/>
              </w:rPr>
              <w:t>18</w:t>
            </w:r>
            <w:r>
              <w:rPr>
                <w:rFonts w:hint="eastAsia" w:ascii="Times New Roman" w:hAnsi="Times New Roman" w:cs="Times New Roman"/>
                <w:sz w:val="22"/>
              </w:rPr>
              <w:t>分/人次；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三等：0</w:t>
            </w:r>
            <w:r>
              <w:rPr>
                <w:rFonts w:ascii="Times New Roman" w:hAnsi="Times New Roman" w:cs="Times New Roman"/>
                <w:sz w:val="22"/>
              </w:rPr>
              <w:t>.15</w:t>
            </w:r>
            <w:r>
              <w:rPr>
                <w:rFonts w:hint="eastAsia" w:ascii="Times New Roman" w:hAnsi="Times New Roman" w:cs="Times New Roman"/>
                <w:sz w:val="22"/>
              </w:rPr>
              <w:t>分/人次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市级、省级与地区级</w:t>
            </w:r>
          </w:p>
        </w:tc>
        <w:tc>
          <w:tcPr>
            <w:tcW w:w="58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一等：0.1分/人次；二等：0</w:t>
            </w:r>
            <w:r>
              <w:rPr>
                <w:rFonts w:ascii="Times New Roman" w:hAnsi="Times New Roman" w:cs="Times New Roman"/>
                <w:sz w:val="22"/>
              </w:rPr>
              <w:t>.08</w:t>
            </w:r>
            <w:r>
              <w:rPr>
                <w:rFonts w:hint="eastAsia" w:ascii="Times New Roman" w:hAnsi="Times New Roman" w:cs="Times New Roman"/>
                <w:sz w:val="22"/>
              </w:rPr>
              <w:t>分/人次；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三等：0</w:t>
            </w:r>
            <w:r>
              <w:rPr>
                <w:rFonts w:ascii="Times New Roman" w:hAnsi="Times New Roman" w:cs="Times New Roman"/>
                <w:sz w:val="22"/>
              </w:rPr>
              <w:t>.05</w:t>
            </w:r>
            <w:r>
              <w:rPr>
                <w:rFonts w:hint="eastAsia" w:ascii="Times New Roman" w:hAnsi="Times New Roman" w:cs="Times New Roman"/>
                <w:sz w:val="22"/>
              </w:rPr>
              <w:t>分/人次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集体比赛加分</w:t>
            </w:r>
          </w:p>
        </w:tc>
        <w:tc>
          <w:tcPr>
            <w:tcW w:w="581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一等：0.2分/项；二等：0</w:t>
            </w:r>
            <w:r>
              <w:rPr>
                <w:rFonts w:ascii="Times New Roman" w:hAnsi="Times New Roman" w:cs="Times New Roman"/>
                <w:sz w:val="22"/>
              </w:rPr>
              <w:t>.15</w:t>
            </w:r>
            <w:r>
              <w:rPr>
                <w:rFonts w:hint="eastAsia" w:ascii="Times New Roman" w:hAnsi="Times New Roman" w:cs="Times New Roman"/>
                <w:sz w:val="22"/>
              </w:rPr>
              <w:t>分/项；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 w:ascii="Times New Roman" w:hAnsi="Times New Roman" w:cs="Times New Roman"/>
                <w:sz w:val="22"/>
              </w:rPr>
              <w:t>三等：0.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hint="eastAsia" w:ascii="Times New Roman" w:hAnsi="Times New Roman" w:cs="Times New Roman"/>
                <w:sz w:val="22"/>
              </w:rPr>
              <w:t>分/项</w:t>
            </w:r>
          </w:p>
        </w:tc>
      </w:tr>
    </w:tbl>
    <w:p>
      <w:pPr>
        <w:spacing w:before="312" w:beforeLines="100" w:after="312" w:afterLines="100" w:line="360" w:lineRule="auto"/>
        <w:rPr>
          <w:rFonts w:hint="default" w:ascii="Times New Roman" w:hAnsi="Times New Roman"/>
          <w:sz w:val="24"/>
          <w:lang w:val="en-US"/>
        </w:rPr>
      </w:pPr>
      <w:r>
        <w:rPr>
          <w:rFonts w:hint="eastAsia" w:ascii="Times New Roman" w:hAnsi="Times New Roman"/>
          <w:sz w:val="24"/>
        </w:rPr>
        <w:t>各项学科竞赛类别认定参考教务网学科竞赛目录，见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附件5</w:t>
      </w:r>
      <w:r>
        <w:rPr>
          <w:rFonts w:hint="eastAsia" w:ascii="Times New Roman" w:hAnsi="Times New Roman"/>
          <w:sz w:val="24"/>
          <w:lang w:val="en-US" w:eastAsia="zh-CN"/>
        </w:rPr>
        <w:t>。</w:t>
      </w:r>
    </w:p>
    <w:p>
      <w:pPr>
        <w:spacing w:before="312" w:beforeLines="100" w:after="312" w:afterLines="100"/>
        <w:jc w:val="center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第四章 评审办法及程序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第十条  “十佳班集体”每年度评选一次，在每年4-6月进行。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bookmarkStart w:id="1" w:name="_Hlk34245987"/>
      <w:bookmarkEnd w:id="1"/>
      <w:r>
        <w:rPr>
          <w:rFonts w:hint="eastAsia" w:ascii="Times New Roman" w:hAnsi="Times New Roman"/>
          <w:sz w:val="24"/>
        </w:rPr>
        <w:t>第十一条  “十佳班集体”评选由各班级提出申请，学院学生工作组审核申请班级的资料后，报学院学生奖励评审小组评审，确定拟推荐班级名单，在全院范围内公示三个工作日后，组织公开答辩，结合前期考核分数确定获奖班级名单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第十二条  根据基础得分以及附加分，择优入围答辩。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bookmarkStart w:id="2" w:name="_Hlk34246069"/>
      <w:bookmarkEnd w:id="2"/>
      <w:r>
        <w:rPr>
          <w:rFonts w:hint="eastAsia" w:ascii="Times New Roman" w:hAnsi="Times New Roman"/>
          <w:sz w:val="24"/>
        </w:rPr>
        <w:t>第十三条  学院每年度评选出“十佳班集体”共计10个班级，颁发证书和</w:t>
      </w:r>
      <w:r>
        <w:rPr>
          <w:rFonts w:hint="eastAsia" w:ascii="Times New Roman" w:hAnsi="Times New Roman"/>
          <w:sz w:val="24"/>
          <w:lang w:val="en-US" w:eastAsia="zh-CN"/>
        </w:rPr>
        <w:t>价值</w:t>
      </w:r>
      <w:bookmarkStart w:id="3" w:name="_GoBack"/>
      <w:bookmarkEnd w:id="3"/>
      <w:r>
        <w:rPr>
          <w:rFonts w:hint="eastAsia" w:ascii="Times New Roman" w:hAnsi="Times New Roman"/>
          <w:sz w:val="24"/>
        </w:rPr>
        <w:t>1000元</w:t>
      </w:r>
      <w:r>
        <w:rPr>
          <w:rFonts w:hint="eastAsia" w:ascii="Times New Roman" w:hAnsi="Times New Roman"/>
          <w:sz w:val="24"/>
          <w:lang w:val="en-US" w:eastAsia="zh-CN"/>
        </w:rPr>
        <w:t>的文创产品</w:t>
      </w:r>
      <w:r>
        <w:rPr>
          <w:rFonts w:hint="eastAsia" w:ascii="Times New Roman" w:hAnsi="Times New Roman"/>
          <w:sz w:val="24"/>
        </w:rPr>
        <w:t>。</w:t>
      </w:r>
    </w:p>
    <w:p>
      <w:pPr>
        <w:spacing w:before="312" w:beforeLines="100" w:after="312" w:afterLines="100"/>
        <w:jc w:val="center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第五章  附则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第十四条  评选活动所有环节接受监督与核查，评选期间一旦弄虚作假行为，取消班级的评选资格。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第十五条  参评班级在学校教学、实习、生活过程中发生重大事故(包括教学事故、安全责任事故等)的，取消班级评选资格。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第十六条  所有指标数据的考评参评情况，所有奖项与荣誉须为</w:t>
      </w:r>
      <w:r>
        <w:rPr>
          <w:rFonts w:hint="eastAsia" w:ascii="Times New Roman" w:hAnsi="Times New Roman" w:cs="方正小标宋简体"/>
          <w:sz w:val="24"/>
        </w:rPr>
        <w:t>评</w:t>
      </w:r>
      <w:r>
        <w:rPr>
          <w:rFonts w:hint="eastAsia" w:ascii="Times New Roman" w:hAnsi="Times New Roman"/>
          <w:sz w:val="24"/>
        </w:rPr>
        <w:t>选</w:t>
      </w:r>
      <w:r>
        <w:rPr>
          <w:rFonts w:hint="eastAsia" w:ascii="Times New Roman" w:hAnsi="Times New Roman" w:cs="方正小标宋简体"/>
          <w:sz w:val="24"/>
        </w:rPr>
        <w:t>周期内</w:t>
      </w:r>
      <w:r>
        <w:rPr>
          <w:rFonts w:hint="eastAsia" w:ascii="Times New Roman" w:hAnsi="Times New Roman"/>
          <w:sz w:val="24"/>
        </w:rPr>
        <w:t>获得。</w:t>
      </w:r>
    </w:p>
    <w:p>
      <w:pPr>
        <w:spacing w:before="312" w:beforeLines="100" w:after="312" w:afterLines="100"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第十七条  该办法由交通运输与物流学院学生奖励评审小组负责解释。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script"/>
    <w:pitch w:val="default"/>
    <w:sig w:usb0="A00002BF" w:usb1="184F6CFA" w:usb2="00000012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iYTBkZjUxZDQwYTAzMjgyMDNiMTJlMzcyNWEyMjcifQ=="/>
  </w:docVars>
  <w:rsids>
    <w:rsidRoot w:val="00A127B9"/>
    <w:rsid w:val="00005498"/>
    <w:rsid w:val="00036AE8"/>
    <w:rsid w:val="0005251C"/>
    <w:rsid w:val="00086007"/>
    <w:rsid w:val="00090B45"/>
    <w:rsid w:val="00094671"/>
    <w:rsid w:val="000A3D83"/>
    <w:rsid w:val="000C535E"/>
    <w:rsid w:val="000E5927"/>
    <w:rsid w:val="001042F0"/>
    <w:rsid w:val="001155C5"/>
    <w:rsid w:val="00146E41"/>
    <w:rsid w:val="00176C38"/>
    <w:rsid w:val="00184A6F"/>
    <w:rsid w:val="00190951"/>
    <w:rsid w:val="00190FD7"/>
    <w:rsid w:val="001A55CA"/>
    <w:rsid w:val="001B5FB7"/>
    <w:rsid w:val="001D2976"/>
    <w:rsid w:val="001E199F"/>
    <w:rsid w:val="001F5D68"/>
    <w:rsid w:val="002763AE"/>
    <w:rsid w:val="002C5CFA"/>
    <w:rsid w:val="002C76E7"/>
    <w:rsid w:val="002C7D5B"/>
    <w:rsid w:val="003824A1"/>
    <w:rsid w:val="003A31E7"/>
    <w:rsid w:val="003A46D4"/>
    <w:rsid w:val="003D010F"/>
    <w:rsid w:val="004024E0"/>
    <w:rsid w:val="00420CE8"/>
    <w:rsid w:val="00430A46"/>
    <w:rsid w:val="00465557"/>
    <w:rsid w:val="00473D57"/>
    <w:rsid w:val="00480FFF"/>
    <w:rsid w:val="004A03BF"/>
    <w:rsid w:val="004C48E0"/>
    <w:rsid w:val="0051025D"/>
    <w:rsid w:val="005174F8"/>
    <w:rsid w:val="00517529"/>
    <w:rsid w:val="00535679"/>
    <w:rsid w:val="00553865"/>
    <w:rsid w:val="00561D16"/>
    <w:rsid w:val="00581075"/>
    <w:rsid w:val="005874A2"/>
    <w:rsid w:val="005A294D"/>
    <w:rsid w:val="005B321B"/>
    <w:rsid w:val="006100C5"/>
    <w:rsid w:val="006102A6"/>
    <w:rsid w:val="00621B4C"/>
    <w:rsid w:val="00642095"/>
    <w:rsid w:val="006A1D1F"/>
    <w:rsid w:val="006F7F09"/>
    <w:rsid w:val="00722219"/>
    <w:rsid w:val="007525B2"/>
    <w:rsid w:val="007808B3"/>
    <w:rsid w:val="007B394E"/>
    <w:rsid w:val="007E6D6D"/>
    <w:rsid w:val="007F1157"/>
    <w:rsid w:val="00834035"/>
    <w:rsid w:val="008344A4"/>
    <w:rsid w:val="00850474"/>
    <w:rsid w:val="0085376C"/>
    <w:rsid w:val="008646FA"/>
    <w:rsid w:val="008814DD"/>
    <w:rsid w:val="008A024A"/>
    <w:rsid w:val="008C65AA"/>
    <w:rsid w:val="008D04AD"/>
    <w:rsid w:val="008F4FF2"/>
    <w:rsid w:val="00927506"/>
    <w:rsid w:val="00956D63"/>
    <w:rsid w:val="00966BF5"/>
    <w:rsid w:val="009E56E0"/>
    <w:rsid w:val="009E6E53"/>
    <w:rsid w:val="00A127B9"/>
    <w:rsid w:val="00A712EC"/>
    <w:rsid w:val="00A87A05"/>
    <w:rsid w:val="00AC2503"/>
    <w:rsid w:val="00AC36B9"/>
    <w:rsid w:val="00AD2E7B"/>
    <w:rsid w:val="00AE539C"/>
    <w:rsid w:val="00AE64FE"/>
    <w:rsid w:val="00B25B5A"/>
    <w:rsid w:val="00B6527B"/>
    <w:rsid w:val="00B85519"/>
    <w:rsid w:val="00BB7323"/>
    <w:rsid w:val="00BE09FC"/>
    <w:rsid w:val="00C06979"/>
    <w:rsid w:val="00C31B1B"/>
    <w:rsid w:val="00C36BAC"/>
    <w:rsid w:val="00C610B0"/>
    <w:rsid w:val="00C61407"/>
    <w:rsid w:val="00C70253"/>
    <w:rsid w:val="00C91FC1"/>
    <w:rsid w:val="00C94438"/>
    <w:rsid w:val="00CB2B56"/>
    <w:rsid w:val="00CC4450"/>
    <w:rsid w:val="00CF6E27"/>
    <w:rsid w:val="00D17ED3"/>
    <w:rsid w:val="00D32842"/>
    <w:rsid w:val="00D47271"/>
    <w:rsid w:val="00D63E14"/>
    <w:rsid w:val="00D74948"/>
    <w:rsid w:val="00D87AA5"/>
    <w:rsid w:val="00DB604B"/>
    <w:rsid w:val="00E06EDA"/>
    <w:rsid w:val="00E105BE"/>
    <w:rsid w:val="00E44D03"/>
    <w:rsid w:val="00E45708"/>
    <w:rsid w:val="00E501B0"/>
    <w:rsid w:val="00E750B1"/>
    <w:rsid w:val="00EF0B0A"/>
    <w:rsid w:val="00F34DD7"/>
    <w:rsid w:val="00F351DA"/>
    <w:rsid w:val="00F43364"/>
    <w:rsid w:val="00F65188"/>
    <w:rsid w:val="00F76181"/>
    <w:rsid w:val="00FA65C0"/>
    <w:rsid w:val="00FE2227"/>
    <w:rsid w:val="4509260F"/>
    <w:rsid w:val="6E3828AB"/>
    <w:rsid w:val="73B21B98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link w:val="14"/>
    <w:qFormat/>
    <w:uiPriority w:val="9"/>
    <w:pPr>
      <w:keepNext/>
      <w:keepLines/>
      <w:pBdr>
        <w:bottom w:val="single" w:color="DBE5F1" w:sz="8" w:space="0"/>
      </w:pBdr>
      <w:spacing w:after="200" w:line="300" w:lineRule="auto"/>
      <w:outlineLvl w:val="0"/>
    </w:pPr>
    <w:rPr>
      <w:rFonts w:ascii="Cambria" w:hAnsi="Cambria" w:eastAsia="Microsoft YaHei UI" w:cs="宋体"/>
      <w:color w:val="4F81BD"/>
      <w:sz w:val="36"/>
      <w:szCs w:val="36"/>
      <w:lang w:val="en-US" w:eastAsia="ja-JP" w:bidi="ar-SA"/>
    </w:rPr>
  </w:style>
  <w:style w:type="paragraph" w:styleId="3">
    <w:name w:val="heading 2"/>
    <w:link w:val="15"/>
    <w:autoRedefine/>
    <w:semiHidden/>
    <w:unhideWhenUsed/>
    <w:qFormat/>
    <w:uiPriority w:val="9"/>
    <w:pPr>
      <w:keepNext/>
      <w:keepLines/>
      <w:spacing w:before="120" w:after="120"/>
      <w:outlineLvl w:val="1"/>
    </w:pPr>
    <w:rPr>
      <w:rFonts w:ascii="Calibri" w:hAnsi="Calibri" w:eastAsia="Microsoft YaHei UI" w:cs="宋体"/>
      <w:b/>
      <w:bCs/>
      <w:color w:val="1F497D"/>
      <w:sz w:val="26"/>
      <w:szCs w:val="26"/>
      <w:lang w:val="en-US" w:eastAsia="ja-JP" w:bidi="ar-SA"/>
    </w:rPr>
  </w:style>
  <w:style w:type="paragraph" w:styleId="4">
    <w:name w:val="heading 3"/>
    <w:basedOn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autoRedefine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17"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link w:val="23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标题 1 字符"/>
    <w:basedOn w:val="12"/>
    <w:link w:val="2"/>
    <w:uiPriority w:val="9"/>
    <w:rPr>
      <w:rFonts w:ascii="Cambria" w:hAnsi="Cambria" w:eastAsia="Microsoft YaHei UI" w:cs="宋体"/>
      <w:color w:val="4F81BD"/>
      <w:kern w:val="0"/>
      <w:sz w:val="36"/>
      <w:szCs w:val="36"/>
      <w:lang w:eastAsia="ja-JP"/>
    </w:rPr>
  </w:style>
  <w:style w:type="character" w:customStyle="1" w:styleId="15">
    <w:name w:val="标题 2 字符"/>
    <w:basedOn w:val="12"/>
    <w:link w:val="3"/>
    <w:qFormat/>
    <w:uiPriority w:val="9"/>
    <w:rPr>
      <w:rFonts w:eastAsia="Microsoft YaHei UI"/>
      <w:b/>
      <w:bCs/>
      <w:color w:val="1F497D"/>
      <w:kern w:val="0"/>
      <w:sz w:val="26"/>
      <w:szCs w:val="26"/>
      <w:lang w:eastAsia="ja-JP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字符"/>
    <w:basedOn w:val="12"/>
    <w:link w:val="6"/>
    <w:uiPriority w:val="99"/>
    <w:rPr>
      <w:sz w:val="18"/>
      <w:szCs w:val="18"/>
    </w:rPr>
  </w:style>
  <w:style w:type="character" w:styleId="18">
    <w:name w:val="Placeholder Text"/>
    <w:basedOn w:val="12"/>
    <w:qFormat/>
    <w:uiPriority w:val="99"/>
    <w:rPr>
      <w:color w:val="808080"/>
    </w:rPr>
  </w:style>
  <w:style w:type="character" w:customStyle="1" w:styleId="19">
    <w:name w:val="页眉 字符"/>
    <w:basedOn w:val="12"/>
    <w:link w:val="8"/>
    <w:uiPriority w:val="99"/>
    <w:rPr>
      <w:sz w:val="18"/>
      <w:szCs w:val="18"/>
    </w:rPr>
  </w:style>
  <w:style w:type="character" w:customStyle="1" w:styleId="20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21">
    <w:name w:val="标题 3 字符"/>
    <w:basedOn w:val="12"/>
    <w:link w:val="4"/>
    <w:semiHidden/>
    <w:uiPriority w:val="9"/>
    <w:rPr>
      <w:b/>
      <w:bCs/>
      <w:sz w:val="32"/>
      <w:szCs w:val="32"/>
    </w:rPr>
  </w:style>
  <w:style w:type="character" w:customStyle="1" w:styleId="22">
    <w:name w:val="批注文字 字符"/>
    <w:basedOn w:val="12"/>
    <w:link w:val="5"/>
    <w:semiHidden/>
    <w:uiPriority w:val="99"/>
  </w:style>
  <w:style w:type="character" w:customStyle="1" w:styleId="23">
    <w:name w:val="批注主题 字符"/>
    <w:basedOn w:val="22"/>
    <w:link w:val="9"/>
    <w:semiHidden/>
    <w:qFormat/>
    <w:uiPriority w:val="99"/>
    <w:rPr>
      <w:b/>
      <w:bCs/>
    </w:rPr>
  </w:style>
  <w:style w:type="paragraph" w:customStyle="1" w:styleId="24">
    <w:name w:val="Revision"/>
    <w:semiHidden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615</Words>
  <Characters>3512</Characters>
  <Lines>29</Lines>
  <Paragraphs>8</Paragraphs>
  <TotalTime>10</TotalTime>
  <ScaleCrop>false</ScaleCrop>
  <LinksUpToDate>false</LinksUpToDate>
  <CharactersWithSpaces>4119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2023-03-29T06:15:00Z</dcterms:created>
  <dc:creator>User</dc:creator>
  <cp:lastModifiedBy>秦书谨</cp:lastModifiedBy>
  <dcterms:modified xsi:type="dcterms:W3CDTF">2025-04-20T08:11:44Z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EF894EA11A2646BFA250B2EC744AE53F_12</vt:lpwstr>
  </property>
</Properties>
</file>