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528" w:tblpY="1576"/>
        <w:tblW w:w="9694" w:type="dxa"/>
        <w:tblLayout w:type="fixed"/>
        <w:tblLook w:val="04A0" w:firstRow="1" w:lastRow="0" w:firstColumn="1" w:lastColumn="0" w:noHBand="0" w:noVBand="1"/>
      </w:tblPr>
      <w:tblGrid>
        <w:gridCol w:w="1582"/>
        <w:gridCol w:w="2327"/>
        <w:gridCol w:w="1834"/>
        <w:gridCol w:w="3951"/>
      </w:tblGrid>
      <w:tr w:rsidR="000F33B2" w:rsidRPr="003F7766" w14:paraId="65DDEFB0" w14:textId="77777777" w:rsidTr="000F33B2">
        <w:trPr>
          <w:trHeight w:val="685"/>
        </w:trPr>
        <w:tc>
          <w:tcPr>
            <w:tcW w:w="1582" w:type="dxa"/>
            <w:tcBorders>
              <w:top w:val="single" w:sz="4" w:space="0" w:color="auto"/>
              <w:left w:val="single" w:sz="4" w:space="0" w:color="auto"/>
              <w:bottom w:val="single" w:sz="4" w:space="0" w:color="auto"/>
              <w:right w:val="single" w:sz="4" w:space="0" w:color="auto"/>
            </w:tcBorders>
            <w:noWrap/>
            <w:vAlign w:val="center"/>
            <w:hideMark/>
          </w:tcPr>
          <w:p w14:paraId="5330F639"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答辩人：</w:t>
            </w:r>
          </w:p>
        </w:tc>
        <w:tc>
          <w:tcPr>
            <w:tcW w:w="2327" w:type="dxa"/>
            <w:tcBorders>
              <w:top w:val="single" w:sz="4" w:space="0" w:color="auto"/>
              <w:left w:val="nil"/>
              <w:bottom w:val="single" w:sz="4" w:space="0" w:color="auto"/>
              <w:right w:val="single" w:sz="4" w:space="0" w:color="auto"/>
            </w:tcBorders>
            <w:noWrap/>
            <w:vAlign w:val="center"/>
            <w:hideMark/>
          </w:tcPr>
          <w:p w14:paraId="1862D701" w14:textId="1A0575A5" w:rsidR="000F33B2" w:rsidRPr="003F7766" w:rsidRDefault="00646B3C" w:rsidP="000F33B2">
            <w:pPr>
              <w:widowControl/>
              <w:jc w:val="left"/>
              <w:rPr>
                <w:rFonts w:ascii="宋体" w:eastAsia="宋体" w:hAnsi="宋体" w:cs="宋体" w:hint="eastAsia"/>
                <w:b/>
                <w:color w:val="000000"/>
                <w:kern w:val="0"/>
                <w:sz w:val="28"/>
                <w:szCs w:val="28"/>
              </w:rPr>
            </w:pPr>
            <w:r>
              <w:rPr>
                <w:rFonts w:ascii="宋体" w:eastAsia="宋体" w:hAnsi="宋体" w:cs="宋体" w:hint="eastAsia"/>
                <w:b/>
                <w:color w:val="000000"/>
                <w:kern w:val="0"/>
                <w:sz w:val="28"/>
                <w:szCs w:val="28"/>
              </w:rPr>
              <w:t>景瑞</w:t>
            </w:r>
          </w:p>
        </w:tc>
        <w:tc>
          <w:tcPr>
            <w:tcW w:w="1834" w:type="dxa"/>
            <w:tcBorders>
              <w:top w:val="single" w:sz="4" w:space="0" w:color="auto"/>
              <w:left w:val="nil"/>
              <w:bottom w:val="single" w:sz="4" w:space="0" w:color="auto"/>
              <w:right w:val="single" w:sz="4" w:space="0" w:color="auto"/>
            </w:tcBorders>
            <w:noWrap/>
            <w:vAlign w:val="center"/>
            <w:hideMark/>
          </w:tcPr>
          <w:p w14:paraId="22DF033A"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导</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师：</w:t>
            </w:r>
          </w:p>
        </w:tc>
        <w:tc>
          <w:tcPr>
            <w:tcW w:w="3951" w:type="dxa"/>
            <w:tcBorders>
              <w:top w:val="single" w:sz="4" w:space="0" w:color="auto"/>
              <w:left w:val="nil"/>
              <w:bottom w:val="single" w:sz="4" w:space="0" w:color="auto"/>
              <w:right w:val="single" w:sz="4" w:space="0" w:color="auto"/>
            </w:tcBorders>
            <w:noWrap/>
            <w:vAlign w:val="center"/>
            <w:hideMark/>
          </w:tcPr>
          <w:p w14:paraId="608B94F2" w14:textId="3DF3B1E0" w:rsidR="000F33B2" w:rsidRPr="00646B3C" w:rsidRDefault="00646B3C" w:rsidP="000F33B2">
            <w:pPr>
              <w:widowControl/>
              <w:jc w:val="left"/>
              <w:rPr>
                <w:rFonts w:ascii="宋体" w:eastAsia="宋体" w:hAnsi="宋体" w:cs="宋体" w:hint="eastAsia"/>
                <w:b/>
                <w:bCs/>
                <w:color w:val="000000"/>
                <w:kern w:val="0"/>
                <w:sz w:val="24"/>
                <w:szCs w:val="24"/>
              </w:rPr>
            </w:pPr>
            <w:r w:rsidRPr="00646B3C">
              <w:rPr>
                <w:rFonts w:ascii="宋体" w:eastAsia="宋体" w:hAnsi="宋体" w:cs="宋体" w:hint="eastAsia"/>
                <w:b/>
                <w:bCs/>
                <w:color w:val="000000"/>
                <w:kern w:val="0"/>
                <w:sz w:val="24"/>
                <w:szCs w:val="24"/>
              </w:rPr>
              <w:t>朱宏泉</w:t>
            </w:r>
          </w:p>
        </w:tc>
      </w:tr>
      <w:tr w:rsidR="000F33B2" w:rsidRPr="003F7766" w14:paraId="2A100D05" w14:textId="77777777" w:rsidTr="000F33B2">
        <w:trPr>
          <w:trHeight w:val="678"/>
        </w:trPr>
        <w:tc>
          <w:tcPr>
            <w:tcW w:w="1582" w:type="dxa"/>
            <w:tcBorders>
              <w:top w:val="nil"/>
              <w:left w:val="single" w:sz="4" w:space="0" w:color="auto"/>
              <w:bottom w:val="single" w:sz="4" w:space="0" w:color="auto"/>
              <w:right w:val="single" w:sz="4" w:space="0" w:color="auto"/>
            </w:tcBorders>
            <w:noWrap/>
            <w:vAlign w:val="center"/>
            <w:hideMark/>
          </w:tcPr>
          <w:p w14:paraId="0E4122BC"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专</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业：</w:t>
            </w:r>
          </w:p>
        </w:tc>
        <w:tc>
          <w:tcPr>
            <w:tcW w:w="2327" w:type="dxa"/>
            <w:tcBorders>
              <w:top w:val="nil"/>
              <w:left w:val="nil"/>
              <w:bottom w:val="single" w:sz="4" w:space="0" w:color="auto"/>
              <w:right w:val="single" w:sz="4" w:space="0" w:color="auto"/>
            </w:tcBorders>
            <w:noWrap/>
            <w:vAlign w:val="center"/>
            <w:hideMark/>
          </w:tcPr>
          <w:p w14:paraId="73DE3A12" w14:textId="04405100" w:rsidR="000F33B2" w:rsidRPr="003F7766" w:rsidRDefault="00646B3C" w:rsidP="000F33B2">
            <w:pPr>
              <w:widowControl/>
              <w:jc w:val="left"/>
              <w:rPr>
                <w:rFonts w:ascii="宋体" w:eastAsia="宋体" w:hAnsi="宋体" w:cs="宋体" w:hint="eastAsia"/>
                <w:b/>
                <w:color w:val="000000"/>
                <w:kern w:val="0"/>
                <w:sz w:val="28"/>
                <w:szCs w:val="28"/>
              </w:rPr>
            </w:pPr>
            <w:r>
              <w:rPr>
                <w:rFonts w:ascii="宋体" w:eastAsia="宋体" w:hAnsi="宋体" w:cs="宋体" w:hint="eastAsia"/>
                <w:b/>
                <w:color w:val="000000"/>
                <w:kern w:val="0"/>
                <w:sz w:val="28"/>
                <w:szCs w:val="28"/>
              </w:rPr>
              <w:t>工商管理</w:t>
            </w:r>
          </w:p>
        </w:tc>
        <w:tc>
          <w:tcPr>
            <w:tcW w:w="1834" w:type="dxa"/>
            <w:tcBorders>
              <w:top w:val="nil"/>
              <w:left w:val="nil"/>
              <w:bottom w:val="single" w:sz="4" w:space="0" w:color="auto"/>
              <w:right w:val="single" w:sz="4" w:space="0" w:color="auto"/>
            </w:tcBorders>
            <w:noWrap/>
            <w:vAlign w:val="center"/>
            <w:hideMark/>
          </w:tcPr>
          <w:p w14:paraId="2F66B216" w14:textId="77777777" w:rsidR="000F33B2" w:rsidRPr="003F7766" w:rsidRDefault="000F33B2" w:rsidP="000F33B2">
            <w:pPr>
              <w:widowControl/>
              <w:jc w:val="left"/>
              <w:rPr>
                <w:rFonts w:ascii="宋体" w:eastAsia="宋体" w:hAnsi="宋体" w:cs="宋体" w:hint="eastAsia"/>
                <w:b/>
                <w:color w:val="000000"/>
                <w:kern w:val="0"/>
                <w:sz w:val="28"/>
                <w:szCs w:val="28"/>
              </w:rPr>
            </w:pPr>
            <w:r w:rsidRPr="00CA3673">
              <w:rPr>
                <w:rFonts w:ascii="宋体" w:eastAsia="宋体" w:hAnsi="宋体" w:cs="宋体" w:hint="eastAsia"/>
                <w:b/>
                <w:color w:val="000000"/>
                <w:kern w:val="0"/>
                <w:sz w:val="28"/>
                <w:szCs w:val="28"/>
              </w:rPr>
              <w:t>研究方</w:t>
            </w:r>
            <w:r w:rsidRPr="003F7766">
              <w:rPr>
                <w:rFonts w:ascii="宋体" w:eastAsia="宋体" w:hAnsi="宋体" w:cs="宋体" w:hint="eastAsia"/>
                <w:b/>
                <w:color w:val="000000"/>
                <w:kern w:val="0"/>
                <w:sz w:val="28"/>
                <w:szCs w:val="28"/>
              </w:rPr>
              <w:t>向：</w:t>
            </w:r>
          </w:p>
        </w:tc>
        <w:tc>
          <w:tcPr>
            <w:tcW w:w="3951" w:type="dxa"/>
            <w:tcBorders>
              <w:top w:val="nil"/>
              <w:left w:val="nil"/>
              <w:bottom w:val="single" w:sz="4" w:space="0" w:color="auto"/>
              <w:right w:val="single" w:sz="4" w:space="0" w:color="auto"/>
            </w:tcBorders>
            <w:noWrap/>
            <w:vAlign w:val="center"/>
            <w:hideMark/>
          </w:tcPr>
          <w:p w14:paraId="11CABF0D" w14:textId="21FB7570" w:rsidR="000F33B2" w:rsidRPr="00646B3C" w:rsidRDefault="00646B3C" w:rsidP="000F33B2">
            <w:pPr>
              <w:widowControl/>
              <w:jc w:val="left"/>
              <w:rPr>
                <w:rFonts w:ascii="宋体" w:eastAsia="宋体" w:hAnsi="宋体" w:cs="宋体" w:hint="eastAsia"/>
                <w:b/>
                <w:bCs/>
                <w:color w:val="000000"/>
                <w:kern w:val="0"/>
                <w:sz w:val="24"/>
                <w:szCs w:val="24"/>
              </w:rPr>
            </w:pPr>
            <w:r w:rsidRPr="00646B3C">
              <w:rPr>
                <w:rFonts w:ascii="宋体" w:eastAsia="宋体" w:hAnsi="宋体" w:cs="宋体" w:hint="eastAsia"/>
                <w:b/>
                <w:bCs/>
                <w:color w:val="000000"/>
                <w:kern w:val="0"/>
                <w:sz w:val="24"/>
                <w:szCs w:val="24"/>
              </w:rPr>
              <w:t>资本市场、公司金融</w:t>
            </w:r>
          </w:p>
        </w:tc>
      </w:tr>
      <w:tr w:rsidR="000F33B2" w:rsidRPr="003F7766" w14:paraId="50EA3BF0" w14:textId="77777777" w:rsidTr="000F33B2">
        <w:trPr>
          <w:trHeight w:val="678"/>
        </w:trPr>
        <w:tc>
          <w:tcPr>
            <w:tcW w:w="1582" w:type="dxa"/>
            <w:tcBorders>
              <w:top w:val="nil"/>
              <w:left w:val="single" w:sz="4" w:space="0" w:color="auto"/>
              <w:bottom w:val="single" w:sz="4" w:space="0" w:color="auto"/>
              <w:right w:val="single" w:sz="4" w:space="0" w:color="auto"/>
            </w:tcBorders>
            <w:noWrap/>
            <w:vAlign w:val="center"/>
            <w:hideMark/>
          </w:tcPr>
          <w:p w14:paraId="44D0549B" w14:textId="77777777" w:rsidR="000F33B2" w:rsidRPr="003F7766" w:rsidRDefault="000F33B2" w:rsidP="000F33B2">
            <w:pPr>
              <w:widowControl/>
              <w:jc w:val="left"/>
              <w:rPr>
                <w:rFonts w:ascii="宋体" w:eastAsia="宋体" w:hAnsi="宋体" w:cs="宋体" w:hint="eastAsia"/>
                <w:b/>
                <w:color w:val="000000"/>
                <w:kern w:val="0"/>
                <w:sz w:val="28"/>
                <w:szCs w:val="28"/>
              </w:rPr>
            </w:pPr>
            <w:r>
              <w:rPr>
                <w:rFonts w:ascii="宋体" w:eastAsia="宋体" w:hAnsi="宋体" w:cs="宋体" w:hint="eastAsia"/>
                <w:b/>
                <w:color w:val="000000"/>
                <w:kern w:val="0"/>
                <w:sz w:val="28"/>
                <w:szCs w:val="28"/>
              </w:rPr>
              <w:t>论文题目：</w:t>
            </w:r>
          </w:p>
        </w:tc>
        <w:tc>
          <w:tcPr>
            <w:tcW w:w="8112" w:type="dxa"/>
            <w:gridSpan w:val="3"/>
            <w:tcBorders>
              <w:top w:val="nil"/>
              <w:left w:val="nil"/>
              <w:bottom w:val="single" w:sz="4" w:space="0" w:color="auto"/>
              <w:right w:val="single" w:sz="4" w:space="0" w:color="auto"/>
            </w:tcBorders>
            <w:noWrap/>
            <w:vAlign w:val="center"/>
            <w:hideMark/>
          </w:tcPr>
          <w:p w14:paraId="074A8558" w14:textId="3CA8285B" w:rsidR="000F33B2" w:rsidRPr="00646B3C" w:rsidRDefault="00646B3C" w:rsidP="000F33B2">
            <w:pPr>
              <w:widowControl/>
              <w:jc w:val="left"/>
              <w:rPr>
                <w:rFonts w:ascii="宋体" w:eastAsia="宋体" w:hAnsi="宋体" w:cs="宋体" w:hint="eastAsia"/>
                <w:b/>
                <w:bCs/>
                <w:color w:val="000000"/>
                <w:kern w:val="0"/>
                <w:sz w:val="24"/>
                <w:szCs w:val="24"/>
              </w:rPr>
            </w:pPr>
            <w:proofErr w:type="gramStart"/>
            <w:r w:rsidRPr="00646B3C">
              <w:rPr>
                <w:rFonts w:ascii="宋体" w:eastAsia="宋体" w:hAnsi="宋体" w:cs="宋体" w:hint="eastAsia"/>
                <w:b/>
                <w:bCs/>
                <w:color w:val="000000"/>
                <w:kern w:val="0"/>
                <w:sz w:val="24"/>
                <w:szCs w:val="24"/>
              </w:rPr>
              <w:t>科创板</w:t>
            </w:r>
            <w:proofErr w:type="gramEnd"/>
            <w:r w:rsidRPr="00646B3C">
              <w:rPr>
                <w:rFonts w:ascii="宋体" w:eastAsia="宋体" w:hAnsi="宋体" w:cs="宋体" w:hint="eastAsia"/>
                <w:b/>
                <w:bCs/>
                <w:color w:val="000000"/>
                <w:kern w:val="0"/>
                <w:sz w:val="24"/>
                <w:szCs w:val="24"/>
              </w:rPr>
              <w:t>做市商制度对市场质量的影响研究</w:t>
            </w:r>
          </w:p>
        </w:tc>
      </w:tr>
      <w:tr w:rsidR="000F33B2" w:rsidRPr="003F7766" w14:paraId="34FF4173" w14:textId="77777777" w:rsidTr="000F33B2">
        <w:trPr>
          <w:trHeight w:val="704"/>
        </w:trPr>
        <w:tc>
          <w:tcPr>
            <w:tcW w:w="9694" w:type="dxa"/>
            <w:gridSpan w:val="4"/>
            <w:tcBorders>
              <w:top w:val="single" w:sz="4" w:space="0" w:color="auto"/>
              <w:left w:val="single" w:sz="4" w:space="0" w:color="auto"/>
              <w:bottom w:val="single" w:sz="4" w:space="0" w:color="auto"/>
              <w:right w:val="single" w:sz="4" w:space="0" w:color="auto"/>
            </w:tcBorders>
            <w:noWrap/>
            <w:vAlign w:val="center"/>
            <w:hideMark/>
          </w:tcPr>
          <w:p w14:paraId="450A3E27" w14:textId="77777777" w:rsidR="000F33B2" w:rsidRPr="003F7766" w:rsidRDefault="000F33B2" w:rsidP="000F33B2">
            <w:pPr>
              <w:widowControl/>
              <w:jc w:val="center"/>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摘</w:t>
            </w:r>
            <w:r w:rsidRPr="00CA3673">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要</w:t>
            </w:r>
          </w:p>
        </w:tc>
      </w:tr>
      <w:tr w:rsidR="000F33B2" w:rsidRPr="003F7766" w14:paraId="39CB5657" w14:textId="77777777" w:rsidTr="000F33B2">
        <w:trPr>
          <w:trHeight w:val="704"/>
        </w:trPr>
        <w:tc>
          <w:tcPr>
            <w:tcW w:w="9694" w:type="dxa"/>
            <w:gridSpan w:val="4"/>
            <w:tcBorders>
              <w:top w:val="single" w:sz="4" w:space="0" w:color="auto"/>
              <w:left w:val="single" w:sz="4" w:space="0" w:color="auto"/>
              <w:bottom w:val="single" w:sz="4" w:space="0" w:color="auto"/>
              <w:right w:val="single" w:sz="4" w:space="0" w:color="auto"/>
            </w:tcBorders>
            <w:noWrap/>
            <w:vAlign w:val="center"/>
            <w:hideMark/>
          </w:tcPr>
          <w:p w14:paraId="34C39E3D" w14:textId="077CA8F0" w:rsidR="00BA3220" w:rsidRPr="00BA3220" w:rsidRDefault="00BA3220" w:rsidP="00BA3220">
            <w:pPr>
              <w:pStyle w:val="a7"/>
              <w:spacing w:before="0" w:beforeAutospacing="0" w:after="0" w:afterAutospacing="0"/>
              <w:ind w:firstLineChars="200" w:firstLine="480"/>
              <w:rPr>
                <w:rFonts w:hint="eastAsia"/>
              </w:rPr>
            </w:pPr>
            <w:r w:rsidRPr="00BA3220">
              <w:t>党的二十届四中全会围绕“十五五”时期发展目标</w:t>
            </w:r>
            <w:proofErr w:type="gramStart"/>
            <w:r w:rsidRPr="00BA3220">
              <w:t>作出</w:t>
            </w:r>
            <w:proofErr w:type="gramEnd"/>
            <w:r w:rsidRPr="00BA3220">
              <w:t>总体部署，强调提升发展质量和增强科技自主创新能力，以高水平科技自立自强培育新质生产力，并推动科技创新与产业体系深度融合。作为我国资本市场的重要制度创新，</w:t>
            </w:r>
            <w:proofErr w:type="gramStart"/>
            <w:r w:rsidRPr="00BA3220">
              <w:t>科创板</w:t>
            </w:r>
            <w:proofErr w:type="gramEnd"/>
            <w:r w:rsidRPr="00BA3220">
              <w:t>在支持科技创新企业成长和推进注册制改革方面发挥了关键作用。截至2025年7月，</w:t>
            </w:r>
            <w:proofErr w:type="gramStart"/>
            <w:r w:rsidRPr="00BA3220">
              <w:t>科创板</w:t>
            </w:r>
            <w:proofErr w:type="gramEnd"/>
            <w:r w:rsidRPr="00BA3220">
              <w:t>已吸引589家企业上市，募资总额超过万亿元，逐渐成为“硬科技”企业的重要融资平台。随着注册</w:t>
            </w:r>
            <w:proofErr w:type="gramStart"/>
            <w:r w:rsidRPr="00BA3220">
              <w:t>制持续</w:t>
            </w:r>
            <w:proofErr w:type="gramEnd"/>
            <w:r w:rsidRPr="00BA3220">
              <w:t>推进以及较高投资者门槛的存在，</w:t>
            </w:r>
            <w:proofErr w:type="gramStart"/>
            <w:r w:rsidRPr="00BA3220">
              <w:t>科创板</w:t>
            </w:r>
            <w:proofErr w:type="gramEnd"/>
            <w:r w:rsidRPr="00BA3220">
              <w:t>市场流动性分布不均和交易活跃度不足等问题逐渐显现。为优化价格发现机制、提升市场运行效率，监管部门在</w:t>
            </w:r>
            <w:proofErr w:type="gramStart"/>
            <w:r w:rsidRPr="00BA3220">
              <w:t>科创板交易</w:t>
            </w:r>
            <w:proofErr w:type="gramEnd"/>
            <w:r w:rsidRPr="00BA3220">
              <w:t>制度中引入做市商机制，形成竞价交易与做市交易并行的混合交易模式。</w:t>
            </w:r>
          </w:p>
          <w:p w14:paraId="6FE10E51" w14:textId="566BE479" w:rsidR="00646B3C" w:rsidRDefault="00BA3220" w:rsidP="00BA3220">
            <w:pPr>
              <w:pStyle w:val="a7"/>
              <w:spacing w:before="0" w:beforeAutospacing="0" w:after="0" w:afterAutospacing="0"/>
              <w:ind w:firstLineChars="200" w:firstLine="480"/>
              <w:rPr>
                <w:rFonts w:hint="eastAsia"/>
              </w:rPr>
            </w:pPr>
            <w:r w:rsidRPr="00BA3220">
              <w:t>关于做市商制度的影响，学术界尚未形成一致结论。一方面，有研究认为做市商能够通过持续报价和提供即时流动性降低交易成本，从而改善市场质量；另一方面，也有观点指出做市商可能利用信息优势或市场地位影响报价行为，从而损害市场效率。现有研究多基于国外成熟市场或我国新三板市场，而这些市场在制度设计和交易机制方面与</w:t>
            </w:r>
            <w:proofErr w:type="gramStart"/>
            <w:r w:rsidRPr="00BA3220">
              <w:t>科创板</w:t>
            </w:r>
            <w:proofErr w:type="gramEnd"/>
            <w:r w:rsidRPr="00BA3220">
              <w:t>存在明显差异。因此，本文</w:t>
            </w:r>
            <w:proofErr w:type="gramStart"/>
            <w:r w:rsidRPr="00BA3220">
              <w:t>结合科创板</w:t>
            </w:r>
            <w:proofErr w:type="gramEnd"/>
            <w:r w:rsidRPr="00BA3220">
              <w:t>市场特征，从股票流动性、股价波动性和定价效率三个维度，系统分析做市商制度对市场质量的影响。</w:t>
            </w:r>
            <w:r w:rsidR="00646B3C">
              <w:rPr>
                <w:rFonts w:hint="eastAsia"/>
              </w:rPr>
              <w:t>具体研究内容如下：</w:t>
            </w:r>
          </w:p>
          <w:p w14:paraId="27EF36DC" w14:textId="29AA5FDD" w:rsidR="00646B3C" w:rsidRDefault="00646B3C" w:rsidP="00646B3C">
            <w:pPr>
              <w:pStyle w:val="a7"/>
              <w:spacing w:before="0" w:beforeAutospacing="0" w:after="0" w:afterAutospacing="0"/>
              <w:ind w:firstLineChars="200" w:firstLine="480"/>
              <w:rPr>
                <w:rFonts w:hint="eastAsia"/>
              </w:rPr>
            </w:pPr>
            <w:r>
              <w:t>首先，针对</w:t>
            </w:r>
            <w:proofErr w:type="gramStart"/>
            <w:r>
              <w:t>科创板部分</w:t>
            </w:r>
            <w:proofErr w:type="gramEnd"/>
            <w:r>
              <w:t>股票流动性不足的问题，本文以做市商制度的引入为准自然实验，构建多时点双重差分模型检验其对股票流动性的影响。研究结果表明，引入做市商后，做市商通过自有资金与投资者交易并持续提供买卖报价，降低信息不对称程度，吸引更多投资者参与交易，从而提升股票流动性。同时，</w:t>
            </w:r>
            <w:proofErr w:type="gramStart"/>
            <w:r>
              <w:t>科创板</w:t>
            </w:r>
            <w:proofErr w:type="gramEnd"/>
            <w:r>
              <w:t>在制度设计中对做市商行为设置价差上限并建立评价机制，有效约束了做市商可能的合谋行为。进一步分析发现，该制度对小市值股票、做市前流动性较低股票以及熊市环境</w:t>
            </w:r>
            <w:proofErr w:type="gramStart"/>
            <w:r>
              <w:t>下股票</w:t>
            </w:r>
            <w:proofErr w:type="gramEnd"/>
            <w:r>
              <w:t>的流动性提升作用更加显著。</w:t>
            </w:r>
          </w:p>
          <w:p w14:paraId="053007E4" w14:textId="77777777" w:rsidR="00646B3C" w:rsidRDefault="00646B3C" w:rsidP="00646B3C">
            <w:pPr>
              <w:pStyle w:val="a7"/>
              <w:spacing w:before="0" w:beforeAutospacing="0" w:after="0" w:afterAutospacing="0"/>
              <w:ind w:firstLineChars="200" w:firstLine="480"/>
              <w:rPr>
                <w:rFonts w:hint="eastAsia"/>
              </w:rPr>
            </w:pPr>
            <w:r>
              <w:t>其次，由于</w:t>
            </w:r>
            <w:proofErr w:type="gramStart"/>
            <w:r>
              <w:t>科创板企业</w:t>
            </w:r>
            <w:proofErr w:type="gramEnd"/>
            <w:r>
              <w:t>多具有高科技属性和轻资产特征，投资者在定价过程中面临更强的信息不对称问题，同时20%的涨跌幅限制也可能放大价格波动。实证结果表明，做市商通过持续双边报价与库存管理，在缺乏自然交易对手时仍能维持交易连续性，降低流动性风险和交易不确定性，从而缓解逆向选择问题并抑制非理性交易行为。进一步分析显示，该制度在市值较小或具有博彩特征的股票以及投资者情绪较为消极的市场环境下，对降低股价波动的作用更加明显。</w:t>
            </w:r>
          </w:p>
          <w:p w14:paraId="16363195" w14:textId="41FE0FE8" w:rsidR="00646B3C" w:rsidRDefault="00646B3C" w:rsidP="00646B3C">
            <w:pPr>
              <w:pStyle w:val="a7"/>
              <w:spacing w:before="0" w:beforeAutospacing="0" w:after="0" w:afterAutospacing="0"/>
              <w:ind w:firstLineChars="200" w:firstLine="480"/>
              <w:rPr>
                <w:rFonts w:hint="eastAsia"/>
              </w:rPr>
            </w:pPr>
            <w:r>
              <w:t>最后，本文以股价信息含量和价格对信息反应速度作为衡量定价效率的指标，实证</w:t>
            </w:r>
            <w:proofErr w:type="gramStart"/>
            <w:r>
              <w:t>检验做</w:t>
            </w:r>
            <w:proofErr w:type="gramEnd"/>
            <w:r>
              <w:t>市商制度对股票定价效率的影响。研究结果表明，做市商制度通过提升市场流动性并降低知情交易发生的概率，能够有效提高股票定价效率。对于市值较小、媒体关注度较低的股票以及在熊市行情下，其对定价效率的促进作用更加显著。</w:t>
            </w:r>
            <w:r>
              <w:rPr>
                <w:rFonts w:hint="eastAsia"/>
              </w:rPr>
              <w:t xml:space="preserve">     </w:t>
            </w:r>
          </w:p>
          <w:p w14:paraId="0252B3E0" w14:textId="5469B25D" w:rsidR="000F33B2" w:rsidRPr="00BA3220" w:rsidRDefault="00BA3220" w:rsidP="00BA3220">
            <w:pPr>
              <w:pStyle w:val="a7"/>
              <w:spacing w:before="0" w:beforeAutospacing="0" w:after="0" w:afterAutospacing="0"/>
              <w:ind w:firstLineChars="200" w:firstLine="480"/>
              <w:rPr>
                <w:rFonts w:hint="eastAsia"/>
              </w:rPr>
            </w:pPr>
            <w:r>
              <w:t>总体而言，本文在理论和实践层面均具有一定意义。理论上，研究丰富了我国资本市场做市商制度的实证研究，为市场微观结构理论在中国资本市场的应用提供了新的证据。实践上，研究结果表明做市商制度有助于</w:t>
            </w:r>
            <w:proofErr w:type="gramStart"/>
            <w:r>
              <w:t>提升科创板</w:t>
            </w:r>
            <w:proofErr w:type="gramEnd"/>
            <w:r>
              <w:t>市场质量，改善科技创新企业融资环境，并为我国资本市场交易制度改革和相关制度优化提供参考。</w:t>
            </w:r>
          </w:p>
        </w:tc>
      </w:tr>
    </w:tbl>
    <w:p w14:paraId="7ABAF3A6" w14:textId="77777777" w:rsidR="003656F2" w:rsidRPr="00F94709" w:rsidRDefault="003656F2" w:rsidP="003656F2">
      <w:pPr>
        <w:rPr>
          <w:sz w:val="24"/>
          <w:szCs w:val="24"/>
        </w:rPr>
      </w:pPr>
    </w:p>
    <w:sectPr w:rsidR="003656F2" w:rsidRPr="00F94709" w:rsidSect="000C30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7934F" w14:textId="77777777" w:rsidR="00251225" w:rsidRDefault="00251225" w:rsidP="00BA5512">
      <w:r>
        <w:separator/>
      </w:r>
    </w:p>
  </w:endnote>
  <w:endnote w:type="continuationSeparator" w:id="0">
    <w:p w14:paraId="0B46C864" w14:textId="77777777" w:rsidR="00251225" w:rsidRDefault="00251225" w:rsidP="00BA5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D3933" w14:textId="77777777" w:rsidR="00251225" w:rsidRDefault="00251225" w:rsidP="00BA5512">
      <w:r>
        <w:separator/>
      </w:r>
    </w:p>
  </w:footnote>
  <w:footnote w:type="continuationSeparator" w:id="0">
    <w:p w14:paraId="18D614A5" w14:textId="77777777" w:rsidR="00251225" w:rsidRDefault="00251225" w:rsidP="00BA55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F7766"/>
    <w:rsid w:val="000561F3"/>
    <w:rsid w:val="000C309C"/>
    <w:rsid w:val="000F33B2"/>
    <w:rsid w:val="0014433F"/>
    <w:rsid w:val="00172DAA"/>
    <w:rsid w:val="001A5243"/>
    <w:rsid w:val="001B350E"/>
    <w:rsid w:val="00251225"/>
    <w:rsid w:val="002F20DB"/>
    <w:rsid w:val="003656F2"/>
    <w:rsid w:val="003B15A4"/>
    <w:rsid w:val="003D17E1"/>
    <w:rsid w:val="003D4482"/>
    <w:rsid w:val="003E49FE"/>
    <w:rsid w:val="003F7766"/>
    <w:rsid w:val="00445EA3"/>
    <w:rsid w:val="00567FA6"/>
    <w:rsid w:val="00646B3C"/>
    <w:rsid w:val="00671515"/>
    <w:rsid w:val="006940BD"/>
    <w:rsid w:val="006B406D"/>
    <w:rsid w:val="006D7BC5"/>
    <w:rsid w:val="007161AA"/>
    <w:rsid w:val="00717274"/>
    <w:rsid w:val="00776AA6"/>
    <w:rsid w:val="00876447"/>
    <w:rsid w:val="008B6443"/>
    <w:rsid w:val="00953245"/>
    <w:rsid w:val="009F37AD"/>
    <w:rsid w:val="00A26486"/>
    <w:rsid w:val="00BA3220"/>
    <w:rsid w:val="00BA5512"/>
    <w:rsid w:val="00CA3673"/>
    <w:rsid w:val="00D01C3B"/>
    <w:rsid w:val="00DA647F"/>
    <w:rsid w:val="00E71D3F"/>
    <w:rsid w:val="00F14DF6"/>
    <w:rsid w:val="00F94709"/>
    <w:rsid w:val="00F95865"/>
    <w:rsid w:val="00FB7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3F820"/>
  <w15:docId w15:val="{D91D27F3-3F1C-448D-BCAE-60B09629E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30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551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A5512"/>
    <w:rPr>
      <w:sz w:val="18"/>
      <w:szCs w:val="18"/>
    </w:rPr>
  </w:style>
  <w:style w:type="paragraph" w:styleId="a5">
    <w:name w:val="footer"/>
    <w:basedOn w:val="a"/>
    <w:link w:val="a6"/>
    <w:uiPriority w:val="99"/>
    <w:unhideWhenUsed/>
    <w:rsid w:val="00BA5512"/>
    <w:pPr>
      <w:tabs>
        <w:tab w:val="center" w:pos="4153"/>
        <w:tab w:val="right" w:pos="8306"/>
      </w:tabs>
      <w:snapToGrid w:val="0"/>
      <w:jc w:val="left"/>
    </w:pPr>
    <w:rPr>
      <w:sz w:val="18"/>
      <w:szCs w:val="18"/>
    </w:rPr>
  </w:style>
  <w:style w:type="character" w:customStyle="1" w:styleId="a6">
    <w:name w:val="页脚 字符"/>
    <w:basedOn w:val="a0"/>
    <w:link w:val="a5"/>
    <w:uiPriority w:val="99"/>
    <w:rsid w:val="00BA5512"/>
    <w:rPr>
      <w:sz w:val="18"/>
      <w:szCs w:val="18"/>
    </w:rPr>
  </w:style>
  <w:style w:type="paragraph" w:styleId="a7">
    <w:name w:val="Normal (Web)"/>
    <w:basedOn w:val="a"/>
    <w:uiPriority w:val="99"/>
    <w:unhideWhenUsed/>
    <w:rsid w:val="00646B3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574479">
      <w:bodyDiv w:val="1"/>
      <w:marLeft w:val="0"/>
      <w:marRight w:val="0"/>
      <w:marTop w:val="0"/>
      <w:marBottom w:val="0"/>
      <w:divBdr>
        <w:top w:val="none" w:sz="0" w:space="0" w:color="auto"/>
        <w:left w:val="none" w:sz="0" w:space="0" w:color="auto"/>
        <w:bottom w:val="none" w:sz="0" w:space="0" w:color="auto"/>
        <w:right w:val="none" w:sz="0" w:space="0" w:color="auto"/>
      </w:divBdr>
    </w:div>
    <w:div w:id="131892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200</Words>
  <Characters>1146</Characters>
  <Application>Microsoft Office Word</Application>
  <DocSecurity>0</DocSecurity>
  <Lines>9</Lines>
  <Paragraphs>2</Paragraphs>
  <ScaleCrop>false</ScaleCrop>
  <Company>Lenovo</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rui 景</cp:lastModifiedBy>
  <cp:revision>23</cp:revision>
  <cp:lastPrinted>2017-01-06T07:14:00Z</cp:lastPrinted>
  <dcterms:created xsi:type="dcterms:W3CDTF">2017-01-06T06:51:00Z</dcterms:created>
  <dcterms:modified xsi:type="dcterms:W3CDTF">2026-03-13T01:43:00Z</dcterms:modified>
</cp:coreProperties>
</file>