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528" w:tblpY="1576"/>
        <w:tblW w:w="0" w:type="dxa"/>
        <w:tblLayout w:type="fixed"/>
        <w:tblLook w:val="04A0" w:firstRow="1" w:lastRow="0" w:firstColumn="1" w:lastColumn="0" w:noHBand="0" w:noVBand="1"/>
      </w:tblPr>
      <w:tblGrid>
        <w:gridCol w:w="1582"/>
        <w:gridCol w:w="2327"/>
        <w:gridCol w:w="1834"/>
        <w:gridCol w:w="3951"/>
      </w:tblGrid>
      <w:tr w:rsidR="000F33B2" w:rsidRPr="003F7766" w14:paraId="2E5F3B66" w14:textId="77777777" w:rsidTr="007311C7">
        <w:trPr>
          <w:trHeight w:val="685"/>
        </w:trPr>
        <w:tc>
          <w:tcPr>
            <w:tcW w:w="1582" w:type="dxa"/>
            <w:tcBorders>
              <w:top w:val="single" w:sz="4" w:space="0" w:color="auto"/>
              <w:left w:val="single" w:sz="4" w:space="0" w:color="auto"/>
              <w:bottom w:val="single" w:sz="4" w:space="0" w:color="auto"/>
              <w:right w:val="single" w:sz="4" w:space="0" w:color="auto"/>
            </w:tcBorders>
            <w:noWrap/>
            <w:vAlign w:val="center"/>
            <w:hideMark/>
          </w:tcPr>
          <w:p w14:paraId="135A1D61"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答辩人：</w:t>
            </w:r>
          </w:p>
        </w:tc>
        <w:tc>
          <w:tcPr>
            <w:tcW w:w="2327" w:type="dxa"/>
            <w:tcBorders>
              <w:top w:val="single" w:sz="4" w:space="0" w:color="auto"/>
              <w:left w:val="nil"/>
              <w:bottom w:val="single" w:sz="4" w:space="0" w:color="auto"/>
              <w:right w:val="single" w:sz="4" w:space="0" w:color="auto"/>
            </w:tcBorders>
            <w:noWrap/>
            <w:vAlign w:val="center"/>
            <w:hideMark/>
          </w:tcPr>
          <w:p w14:paraId="0325BB74" w14:textId="5493414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 xml:space="preserve">　</w:t>
            </w:r>
            <w:r w:rsidR="00B1531E">
              <w:rPr>
                <w:rFonts w:ascii="宋体" w:eastAsia="宋体" w:hAnsi="宋体" w:cs="宋体" w:hint="eastAsia"/>
                <w:b/>
                <w:color w:val="000000"/>
                <w:kern w:val="0"/>
                <w:sz w:val="28"/>
                <w:szCs w:val="28"/>
              </w:rPr>
              <w:t>陈雪</w:t>
            </w:r>
          </w:p>
        </w:tc>
        <w:tc>
          <w:tcPr>
            <w:tcW w:w="1834" w:type="dxa"/>
            <w:tcBorders>
              <w:top w:val="single" w:sz="4" w:space="0" w:color="auto"/>
              <w:left w:val="nil"/>
              <w:bottom w:val="single" w:sz="4" w:space="0" w:color="auto"/>
              <w:right w:val="single" w:sz="4" w:space="0" w:color="auto"/>
            </w:tcBorders>
            <w:noWrap/>
            <w:vAlign w:val="center"/>
            <w:hideMark/>
          </w:tcPr>
          <w:p w14:paraId="599500DE"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导</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师：</w:t>
            </w:r>
          </w:p>
        </w:tc>
        <w:tc>
          <w:tcPr>
            <w:tcW w:w="3951" w:type="dxa"/>
            <w:tcBorders>
              <w:top w:val="single" w:sz="4" w:space="0" w:color="auto"/>
              <w:left w:val="nil"/>
              <w:bottom w:val="single" w:sz="4" w:space="0" w:color="auto"/>
              <w:right w:val="single" w:sz="4" w:space="0" w:color="auto"/>
            </w:tcBorders>
            <w:noWrap/>
            <w:vAlign w:val="center"/>
            <w:hideMark/>
          </w:tcPr>
          <w:p w14:paraId="444F398A" w14:textId="6A518CA3" w:rsidR="000F33B2" w:rsidRPr="00B1531E" w:rsidRDefault="000F33B2" w:rsidP="000F33B2">
            <w:pPr>
              <w:widowControl/>
              <w:jc w:val="left"/>
              <w:rPr>
                <w:rFonts w:ascii="宋体" w:eastAsia="宋体" w:hAnsi="宋体" w:cs="宋体" w:hint="eastAsia"/>
                <w:b/>
                <w:bCs/>
                <w:color w:val="000000"/>
                <w:kern w:val="0"/>
                <w:sz w:val="28"/>
                <w:szCs w:val="28"/>
              </w:rPr>
            </w:pPr>
            <w:r w:rsidRPr="003F7766">
              <w:rPr>
                <w:rFonts w:ascii="宋体" w:eastAsia="宋体" w:hAnsi="宋体" w:cs="宋体" w:hint="eastAsia"/>
                <w:color w:val="000000"/>
                <w:kern w:val="0"/>
                <w:sz w:val="24"/>
                <w:szCs w:val="24"/>
              </w:rPr>
              <w:t xml:space="preserve">　</w:t>
            </w:r>
            <w:r w:rsidR="00B1531E" w:rsidRPr="00B1531E">
              <w:rPr>
                <w:rFonts w:ascii="宋体" w:eastAsia="宋体" w:hAnsi="宋体" w:cs="宋体" w:hint="eastAsia"/>
                <w:b/>
                <w:bCs/>
                <w:color w:val="000000"/>
                <w:kern w:val="0"/>
                <w:sz w:val="28"/>
                <w:szCs w:val="28"/>
              </w:rPr>
              <w:t>李军</w:t>
            </w:r>
          </w:p>
        </w:tc>
      </w:tr>
      <w:tr w:rsidR="000F33B2" w:rsidRPr="003F7766" w14:paraId="7628C67C" w14:textId="77777777" w:rsidTr="007311C7">
        <w:trPr>
          <w:trHeight w:val="678"/>
        </w:trPr>
        <w:tc>
          <w:tcPr>
            <w:tcW w:w="1582" w:type="dxa"/>
            <w:tcBorders>
              <w:top w:val="nil"/>
              <w:left w:val="single" w:sz="4" w:space="0" w:color="auto"/>
              <w:bottom w:val="single" w:sz="4" w:space="0" w:color="auto"/>
              <w:right w:val="single" w:sz="4" w:space="0" w:color="auto"/>
            </w:tcBorders>
            <w:noWrap/>
            <w:vAlign w:val="center"/>
            <w:hideMark/>
          </w:tcPr>
          <w:p w14:paraId="167690D9"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专</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业：</w:t>
            </w:r>
          </w:p>
        </w:tc>
        <w:tc>
          <w:tcPr>
            <w:tcW w:w="2327" w:type="dxa"/>
            <w:tcBorders>
              <w:top w:val="nil"/>
              <w:left w:val="nil"/>
              <w:bottom w:val="single" w:sz="4" w:space="0" w:color="auto"/>
              <w:right w:val="single" w:sz="4" w:space="0" w:color="auto"/>
            </w:tcBorders>
            <w:noWrap/>
            <w:vAlign w:val="center"/>
            <w:hideMark/>
          </w:tcPr>
          <w:p w14:paraId="5D9F91AC" w14:textId="770E7722" w:rsidR="000F33B2" w:rsidRPr="003F7766" w:rsidRDefault="00B1531E" w:rsidP="000F33B2">
            <w:pPr>
              <w:widowControl/>
              <w:jc w:val="left"/>
              <w:rPr>
                <w:rFonts w:ascii="宋体" w:eastAsia="宋体" w:hAnsi="宋体" w:cs="宋体" w:hint="eastAsia"/>
                <w:b/>
                <w:color w:val="000000"/>
                <w:kern w:val="0"/>
                <w:sz w:val="28"/>
                <w:szCs w:val="28"/>
              </w:rPr>
            </w:pPr>
            <w:r>
              <w:rPr>
                <w:rFonts w:ascii="宋体" w:eastAsia="宋体" w:hAnsi="宋体" w:cs="宋体" w:hint="eastAsia"/>
                <w:b/>
                <w:color w:val="000000"/>
                <w:kern w:val="0"/>
                <w:sz w:val="28"/>
                <w:szCs w:val="28"/>
              </w:rPr>
              <w:t>管理科学与工程</w:t>
            </w:r>
          </w:p>
        </w:tc>
        <w:tc>
          <w:tcPr>
            <w:tcW w:w="1834" w:type="dxa"/>
            <w:tcBorders>
              <w:top w:val="nil"/>
              <w:left w:val="nil"/>
              <w:bottom w:val="single" w:sz="4" w:space="0" w:color="auto"/>
              <w:right w:val="single" w:sz="4" w:space="0" w:color="auto"/>
            </w:tcBorders>
            <w:noWrap/>
            <w:vAlign w:val="center"/>
            <w:hideMark/>
          </w:tcPr>
          <w:p w14:paraId="4DA46034" w14:textId="77777777" w:rsidR="000F33B2" w:rsidRPr="003F7766" w:rsidRDefault="000F33B2" w:rsidP="000F33B2">
            <w:pPr>
              <w:widowControl/>
              <w:jc w:val="left"/>
              <w:rPr>
                <w:rFonts w:ascii="宋体" w:eastAsia="宋体" w:hAnsi="宋体" w:cs="宋体" w:hint="eastAsia"/>
                <w:b/>
                <w:color w:val="000000"/>
                <w:kern w:val="0"/>
                <w:sz w:val="28"/>
                <w:szCs w:val="28"/>
              </w:rPr>
            </w:pPr>
            <w:r w:rsidRPr="00CA3673">
              <w:rPr>
                <w:rFonts w:ascii="宋体" w:eastAsia="宋体" w:hAnsi="宋体" w:cs="宋体" w:hint="eastAsia"/>
                <w:b/>
                <w:color w:val="000000"/>
                <w:kern w:val="0"/>
                <w:sz w:val="28"/>
                <w:szCs w:val="28"/>
              </w:rPr>
              <w:t>研究方</w:t>
            </w:r>
            <w:r w:rsidRPr="003F7766">
              <w:rPr>
                <w:rFonts w:ascii="宋体" w:eastAsia="宋体" w:hAnsi="宋体" w:cs="宋体" w:hint="eastAsia"/>
                <w:b/>
                <w:color w:val="000000"/>
                <w:kern w:val="0"/>
                <w:sz w:val="28"/>
                <w:szCs w:val="28"/>
              </w:rPr>
              <w:t>向：</w:t>
            </w:r>
          </w:p>
        </w:tc>
        <w:tc>
          <w:tcPr>
            <w:tcW w:w="3951" w:type="dxa"/>
            <w:tcBorders>
              <w:top w:val="nil"/>
              <w:left w:val="nil"/>
              <w:bottom w:val="single" w:sz="4" w:space="0" w:color="auto"/>
              <w:right w:val="single" w:sz="4" w:space="0" w:color="auto"/>
            </w:tcBorders>
            <w:noWrap/>
            <w:vAlign w:val="center"/>
            <w:hideMark/>
          </w:tcPr>
          <w:p w14:paraId="360B9A3C" w14:textId="1872FEB4" w:rsidR="000F33B2" w:rsidRPr="00B1531E" w:rsidRDefault="000F33B2" w:rsidP="000F33B2">
            <w:pPr>
              <w:widowControl/>
              <w:jc w:val="left"/>
              <w:rPr>
                <w:rFonts w:ascii="宋体" w:eastAsia="宋体" w:hAnsi="宋体" w:cs="宋体" w:hint="eastAsia"/>
                <w:b/>
                <w:bCs/>
                <w:color w:val="000000"/>
                <w:kern w:val="0"/>
                <w:sz w:val="28"/>
                <w:szCs w:val="28"/>
              </w:rPr>
            </w:pPr>
            <w:r w:rsidRPr="003F7766">
              <w:rPr>
                <w:rFonts w:ascii="宋体" w:eastAsia="宋体" w:hAnsi="宋体" w:cs="宋体" w:hint="eastAsia"/>
                <w:color w:val="000000"/>
                <w:kern w:val="0"/>
                <w:sz w:val="24"/>
                <w:szCs w:val="24"/>
              </w:rPr>
              <w:t xml:space="preserve">　</w:t>
            </w:r>
            <w:r w:rsidR="00B1531E" w:rsidRPr="00B1531E">
              <w:rPr>
                <w:rFonts w:ascii="宋体" w:eastAsia="宋体" w:hAnsi="宋体" w:cs="宋体" w:hint="eastAsia"/>
                <w:b/>
                <w:bCs/>
                <w:color w:val="000000"/>
                <w:kern w:val="0"/>
                <w:sz w:val="28"/>
                <w:szCs w:val="28"/>
              </w:rPr>
              <w:t>物流与供应链管理</w:t>
            </w:r>
          </w:p>
        </w:tc>
      </w:tr>
      <w:tr w:rsidR="000F33B2" w:rsidRPr="003F7766" w14:paraId="4D545B44" w14:textId="77777777" w:rsidTr="007311C7">
        <w:trPr>
          <w:trHeight w:val="678"/>
        </w:trPr>
        <w:tc>
          <w:tcPr>
            <w:tcW w:w="1582" w:type="dxa"/>
            <w:tcBorders>
              <w:top w:val="nil"/>
              <w:left w:val="single" w:sz="4" w:space="0" w:color="auto"/>
              <w:bottom w:val="single" w:sz="4" w:space="0" w:color="auto"/>
              <w:right w:val="single" w:sz="4" w:space="0" w:color="auto"/>
            </w:tcBorders>
            <w:noWrap/>
            <w:vAlign w:val="center"/>
            <w:hideMark/>
          </w:tcPr>
          <w:p w14:paraId="15538952" w14:textId="77777777" w:rsidR="000F33B2" w:rsidRPr="003F7766" w:rsidRDefault="000F33B2" w:rsidP="000F33B2">
            <w:pPr>
              <w:widowControl/>
              <w:jc w:val="left"/>
              <w:rPr>
                <w:rFonts w:ascii="宋体" w:eastAsia="宋体" w:hAnsi="宋体" w:cs="宋体" w:hint="eastAsia"/>
                <w:b/>
                <w:color w:val="000000"/>
                <w:kern w:val="0"/>
                <w:sz w:val="28"/>
                <w:szCs w:val="28"/>
              </w:rPr>
            </w:pPr>
            <w:r>
              <w:rPr>
                <w:rFonts w:ascii="宋体" w:eastAsia="宋体" w:hAnsi="宋体" w:cs="宋体" w:hint="eastAsia"/>
                <w:b/>
                <w:color w:val="000000"/>
                <w:kern w:val="0"/>
                <w:sz w:val="28"/>
                <w:szCs w:val="28"/>
              </w:rPr>
              <w:t>论文题目：</w:t>
            </w:r>
          </w:p>
        </w:tc>
        <w:tc>
          <w:tcPr>
            <w:tcW w:w="8112" w:type="dxa"/>
            <w:gridSpan w:val="3"/>
            <w:tcBorders>
              <w:top w:val="nil"/>
              <w:left w:val="nil"/>
              <w:bottom w:val="single" w:sz="4" w:space="0" w:color="auto"/>
              <w:right w:val="single" w:sz="4" w:space="0" w:color="auto"/>
            </w:tcBorders>
            <w:noWrap/>
            <w:vAlign w:val="center"/>
            <w:hideMark/>
          </w:tcPr>
          <w:p w14:paraId="40C7D572" w14:textId="0826A58C" w:rsidR="000F33B2" w:rsidRPr="00B1531E" w:rsidRDefault="00B1531E" w:rsidP="000F33B2">
            <w:pPr>
              <w:widowControl/>
              <w:jc w:val="left"/>
              <w:rPr>
                <w:rFonts w:ascii="宋体" w:eastAsia="宋体" w:hAnsi="宋体" w:cs="宋体" w:hint="eastAsia"/>
                <w:b/>
                <w:bCs/>
                <w:color w:val="000000"/>
                <w:kern w:val="0"/>
                <w:sz w:val="28"/>
                <w:szCs w:val="28"/>
              </w:rPr>
            </w:pPr>
            <w:r w:rsidRPr="00B1531E">
              <w:rPr>
                <w:rFonts w:ascii="宋体" w:eastAsia="宋体" w:hAnsi="宋体" w:cs="宋体" w:hint="eastAsia"/>
                <w:b/>
                <w:bCs/>
                <w:color w:val="000000"/>
                <w:kern w:val="0"/>
                <w:sz w:val="28"/>
                <w:szCs w:val="28"/>
              </w:rPr>
              <w:t>竞争环境下生</w:t>
            </w:r>
            <w:proofErr w:type="gramStart"/>
            <w:r w:rsidRPr="00B1531E">
              <w:rPr>
                <w:rFonts w:ascii="宋体" w:eastAsia="宋体" w:hAnsi="宋体" w:cs="宋体" w:hint="eastAsia"/>
                <w:b/>
                <w:bCs/>
                <w:color w:val="000000"/>
                <w:kern w:val="0"/>
                <w:sz w:val="28"/>
                <w:szCs w:val="28"/>
              </w:rPr>
              <w:t>鲜供应</w:t>
            </w:r>
            <w:proofErr w:type="gramEnd"/>
            <w:r w:rsidRPr="00B1531E">
              <w:rPr>
                <w:rFonts w:ascii="宋体" w:eastAsia="宋体" w:hAnsi="宋体" w:cs="宋体" w:hint="eastAsia"/>
                <w:b/>
                <w:bCs/>
                <w:color w:val="000000"/>
                <w:kern w:val="0"/>
                <w:sz w:val="28"/>
                <w:szCs w:val="28"/>
              </w:rPr>
              <w:t>链的保鲜及可追溯技术采用策略研究</w:t>
            </w:r>
          </w:p>
        </w:tc>
      </w:tr>
      <w:tr w:rsidR="000F33B2" w:rsidRPr="003F7766" w14:paraId="44355AD6" w14:textId="77777777" w:rsidTr="007311C7">
        <w:trPr>
          <w:trHeight w:val="704"/>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383E2C46" w14:textId="77777777" w:rsidR="000F33B2" w:rsidRPr="003F7766" w:rsidRDefault="000F33B2" w:rsidP="000F33B2">
            <w:pPr>
              <w:widowControl/>
              <w:jc w:val="center"/>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摘</w:t>
            </w:r>
            <w:r w:rsidRPr="00CA3673">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要</w:t>
            </w:r>
          </w:p>
        </w:tc>
      </w:tr>
      <w:tr w:rsidR="000F33B2" w:rsidRPr="003F7766" w14:paraId="0B693D10" w14:textId="77777777" w:rsidTr="007311C7">
        <w:trPr>
          <w:trHeight w:val="20"/>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6B40194C" w14:textId="77777777" w:rsidR="00B1531E" w:rsidRPr="009B2BB5" w:rsidRDefault="00B1531E" w:rsidP="007311C7">
            <w:pPr>
              <w:snapToGrid w:val="0"/>
              <w:spacing w:line="400" w:lineRule="exact"/>
              <w:ind w:firstLineChars="200" w:firstLine="480"/>
              <w:rPr>
                <w:rFonts w:ascii="Times New Roman" w:eastAsia="宋体" w:hAnsi="Times New Roman" w:cs="Times New Roman"/>
                <w:color w:val="000000" w:themeColor="text1"/>
                <w:sz w:val="24"/>
                <w:szCs w:val="24"/>
              </w:rPr>
            </w:pPr>
            <w:bookmarkStart w:id="0" w:name="_Hlk199510009"/>
            <w:r>
              <w:rPr>
                <w:rFonts w:ascii="Times New Roman" w:eastAsia="宋体" w:hAnsi="Times New Roman" w:cs="Times New Roman" w:hint="eastAsia"/>
                <w:color w:val="000000" w:themeColor="text1"/>
                <w:sz w:val="24"/>
                <w:szCs w:val="24"/>
              </w:rPr>
              <w:t>可追溯</w:t>
            </w:r>
            <w:r w:rsidRPr="009B2BB5">
              <w:rPr>
                <w:rFonts w:ascii="Times New Roman" w:eastAsia="宋体" w:hAnsi="Times New Roman" w:cs="Times New Roman" w:hint="eastAsia"/>
                <w:color w:val="000000" w:themeColor="text1"/>
                <w:sz w:val="24"/>
                <w:szCs w:val="24"/>
              </w:rPr>
              <w:t>技术被视为保障产品质量和真实性的有效工具，但其</w:t>
            </w:r>
            <w:r w:rsidRPr="009B2BB5">
              <w:rPr>
                <w:rFonts w:ascii="Times New Roman" w:eastAsia="宋体" w:hAnsi="Times New Roman" w:cs="Times New Roman"/>
                <w:color w:val="000000" w:themeColor="text1"/>
                <w:sz w:val="24"/>
                <w:szCs w:val="24"/>
              </w:rPr>
              <w:t>高昂的引入成本成为</w:t>
            </w:r>
            <w:r w:rsidRPr="009B2BB5">
              <w:rPr>
                <w:rFonts w:ascii="Times New Roman" w:eastAsia="宋体" w:hAnsi="Times New Roman" w:cs="Times New Roman" w:hint="eastAsia"/>
                <w:color w:val="000000" w:themeColor="text1"/>
                <w:sz w:val="24"/>
                <w:szCs w:val="24"/>
              </w:rPr>
              <w:t>企业</w:t>
            </w:r>
            <w:r w:rsidRPr="009B2BB5">
              <w:rPr>
                <w:rFonts w:ascii="Times New Roman" w:eastAsia="宋体" w:hAnsi="Times New Roman" w:cs="Times New Roman"/>
                <w:color w:val="000000" w:themeColor="text1"/>
                <w:sz w:val="24"/>
                <w:szCs w:val="24"/>
              </w:rPr>
              <w:t>推广</w:t>
            </w:r>
            <w:r w:rsidRPr="009B2BB5">
              <w:rPr>
                <w:rFonts w:ascii="Times New Roman" w:eastAsia="宋体" w:hAnsi="Times New Roman" w:cs="Times New Roman" w:hint="eastAsia"/>
                <w:color w:val="000000" w:themeColor="text1"/>
                <w:sz w:val="24"/>
                <w:szCs w:val="24"/>
              </w:rPr>
              <w:t>和</w:t>
            </w:r>
            <w:r w:rsidRPr="009B2BB5">
              <w:rPr>
                <w:rFonts w:ascii="Times New Roman" w:eastAsia="宋体" w:hAnsi="Times New Roman" w:cs="Times New Roman"/>
                <w:color w:val="000000" w:themeColor="text1"/>
                <w:sz w:val="24"/>
                <w:szCs w:val="24"/>
              </w:rPr>
              <w:t>应用的</w:t>
            </w:r>
            <w:r w:rsidRPr="009B2BB5">
              <w:rPr>
                <w:rFonts w:ascii="Times New Roman" w:eastAsia="宋体" w:hAnsi="Times New Roman" w:cs="Times New Roman" w:hint="eastAsia"/>
                <w:color w:val="000000" w:themeColor="text1"/>
                <w:sz w:val="24"/>
                <w:szCs w:val="24"/>
              </w:rPr>
              <w:t>主要</w:t>
            </w:r>
            <w:r w:rsidRPr="009B2BB5">
              <w:rPr>
                <w:rFonts w:ascii="Times New Roman" w:eastAsia="宋体" w:hAnsi="Times New Roman" w:cs="Times New Roman"/>
                <w:color w:val="000000" w:themeColor="text1"/>
                <w:sz w:val="24"/>
                <w:szCs w:val="24"/>
              </w:rPr>
              <w:t>障碍</w:t>
            </w:r>
            <w:r w:rsidRPr="009B2BB5">
              <w:rPr>
                <w:rFonts w:ascii="Times New Roman" w:eastAsia="宋体" w:hAnsi="Times New Roman" w:cs="Times New Roman" w:hint="eastAsia"/>
                <w:color w:val="000000" w:themeColor="text1"/>
                <w:sz w:val="24"/>
                <w:szCs w:val="24"/>
              </w:rPr>
              <w:t>。此外，</w:t>
            </w:r>
            <w:r w:rsidRPr="009B2BB5">
              <w:rPr>
                <w:rFonts w:ascii="Times New Roman" w:eastAsia="宋体" w:hAnsi="Times New Roman" w:cs="Times New Roman"/>
                <w:color w:val="000000" w:themeColor="text1"/>
                <w:sz w:val="24"/>
                <w:szCs w:val="24"/>
              </w:rPr>
              <w:t>在日益激烈的市场竞争环境中，</w:t>
            </w:r>
            <w:r w:rsidRPr="009B2BB5">
              <w:rPr>
                <w:rFonts w:ascii="Times New Roman" w:eastAsia="宋体" w:hAnsi="Times New Roman" w:cs="Times New Roman" w:hint="eastAsia"/>
                <w:color w:val="000000" w:themeColor="text1"/>
                <w:sz w:val="24"/>
                <w:szCs w:val="24"/>
              </w:rPr>
              <w:t>供应</w:t>
            </w:r>
            <w:proofErr w:type="gramStart"/>
            <w:r w:rsidRPr="009B2BB5">
              <w:rPr>
                <w:rFonts w:ascii="Times New Roman" w:eastAsia="宋体" w:hAnsi="Times New Roman" w:cs="Times New Roman" w:hint="eastAsia"/>
                <w:color w:val="000000" w:themeColor="text1"/>
                <w:sz w:val="24"/>
                <w:szCs w:val="24"/>
              </w:rPr>
              <w:t>链成员</w:t>
            </w:r>
            <w:proofErr w:type="gramEnd"/>
            <w:r w:rsidRPr="009B2BB5">
              <w:rPr>
                <w:rFonts w:ascii="Times New Roman" w:eastAsia="宋体" w:hAnsi="Times New Roman" w:cs="Times New Roman" w:hint="eastAsia"/>
                <w:color w:val="000000" w:themeColor="text1"/>
                <w:sz w:val="24"/>
                <w:szCs w:val="24"/>
              </w:rPr>
              <w:t>之间的横向和纵向竞争会显著影响其决策。</w:t>
            </w:r>
            <w:r>
              <w:rPr>
                <w:rFonts w:ascii="Times New Roman" w:eastAsia="宋体" w:hAnsi="Times New Roman" w:cs="Times New Roman" w:hint="eastAsia"/>
                <w:color w:val="000000" w:themeColor="text1"/>
                <w:sz w:val="24"/>
                <w:szCs w:val="24"/>
              </w:rPr>
              <w:t>因此</w:t>
            </w:r>
            <w:r w:rsidRPr="009B2BB5">
              <w:rPr>
                <w:rFonts w:ascii="Times New Roman" w:eastAsia="宋体" w:hAnsi="Times New Roman" w:cs="Times New Roman"/>
                <w:color w:val="000000" w:themeColor="text1"/>
                <w:sz w:val="24"/>
                <w:szCs w:val="24"/>
              </w:rPr>
              <w:t>，本文综合考虑</w:t>
            </w:r>
            <w:r w:rsidRPr="009B2BB5">
              <w:rPr>
                <w:rFonts w:ascii="Times New Roman" w:eastAsia="宋体" w:hAnsi="Times New Roman" w:cs="Times New Roman" w:hint="eastAsia"/>
                <w:color w:val="000000" w:themeColor="text1"/>
                <w:sz w:val="24"/>
                <w:szCs w:val="24"/>
              </w:rPr>
              <w:t>可追溯技术</w:t>
            </w:r>
            <w:r w:rsidRPr="009B2BB5">
              <w:rPr>
                <w:rFonts w:ascii="Times New Roman" w:eastAsia="宋体" w:hAnsi="Times New Roman" w:cs="Times New Roman"/>
                <w:color w:val="000000" w:themeColor="text1"/>
                <w:sz w:val="24"/>
                <w:szCs w:val="24"/>
              </w:rPr>
              <w:t>成本、零售商竞争</w:t>
            </w:r>
            <w:r w:rsidRPr="009B2BB5">
              <w:rPr>
                <w:rFonts w:ascii="Times New Roman" w:eastAsia="宋体" w:hAnsi="Times New Roman" w:cs="Times New Roman" w:hint="eastAsia"/>
                <w:color w:val="000000" w:themeColor="text1"/>
                <w:sz w:val="24"/>
                <w:szCs w:val="24"/>
              </w:rPr>
              <w:t>、成本共担</w:t>
            </w:r>
            <w:r w:rsidRPr="009B2BB5">
              <w:rPr>
                <w:rFonts w:ascii="Times New Roman" w:eastAsia="宋体" w:hAnsi="Times New Roman" w:cs="Times New Roman"/>
                <w:color w:val="000000" w:themeColor="text1"/>
                <w:sz w:val="24"/>
                <w:szCs w:val="24"/>
              </w:rPr>
              <w:t>以及消费者偏好等多维因素，通过构建博弈模型，从不同的市场结构与竞争环境出发，</w:t>
            </w:r>
            <w:r w:rsidRPr="009B2BB5">
              <w:rPr>
                <w:rFonts w:ascii="Times New Roman" w:eastAsia="宋体" w:hAnsi="Times New Roman" w:cs="Times New Roman" w:hint="eastAsia"/>
                <w:color w:val="000000" w:themeColor="text1"/>
                <w:sz w:val="24"/>
                <w:szCs w:val="24"/>
              </w:rPr>
              <w:t>分析</w:t>
            </w:r>
            <w:r w:rsidRPr="009B2BB5">
              <w:rPr>
                <w:rFonts w:ascii="Times New Roman" w:eastAsia="宋体" w:hAnsi="Times New Roman" w:cs="Times New Roman"/>
                <w:color w:val="000000" w:themeColor="text1"/>
                <w:sz w:val="24"/>
                <w:szCs w:val="24"/>
              </w:rPr>
              <w:t>供应</w:t>
            </w:r>
            <w:proofErr w:type="gramStart"/>
            <w:r w:rsidRPr="009B2BB5">
              <w:rPr>
                <w:rFonts w:ascii="Times New Roman" w:eastAsia="宋体" w:hAnsi="Times New Roman" w:cs="Times New Roman"/>
                <w:color w:val="000000" w:themeColor="text1"/>
                <w:sz w:val="24"/>
                <w:szCs w:val="24"/>
              </w:rPr>
              <w:t>链成员</w:t>
            </w:r>
            <w:proofErr w:type="gramEnd"/>
            <w:r w:rsidRPr="009B2BB5">
              <w:rPr>
                <w:rFonts w:ascii="Times New Roman" w:eastAsia="宋体" w:hAnsi="Times New Roman" w:cs="Times New Roman"/>
                <w:color w:val="000000" w:themeColor="text1"/>
                <w:sz w:val="24"/>
                <w:szCs w:val="24"/>
              </w:rPr>
              <w:t>的最优决策行为</w:t>
            </w:r>
            <w:bookmarkStart w:id="1" w:name="_Hlk199510024"/>
            <w:bookmarkEnd w:id="0"/>
            <w:r>
              <w:rPr>
                <w:rFonts w:ascii="Times New Roman" w:eastAsia="宋体" w:hAnsi="Times New Roman" w:cs="Times New Roman" w:hint="eastAsia"/>
                <w:color w:val="000000" w:themeColor="text1"/>
                <w:sz w:val="24"/>
                <w:szCs w:val="24"/>
              </w:rPr>
              <w:t>。</w:t>
            </w:r>
            <w:r w:rsidRPr="009B2BB5">
              <w:rPr>
                <w:rFonts w:ascii="Times New Roman" w:eastAsia="宋体" w:hAnsi="Times New Roman" w:cs="Times New Roman"/>
                <w:color w:val="000000" w:themeColor="text1"/>
                <w:sz w:val="24"/>
                <w:szCs w:val="24"/>
              </w:rPr>
              <w:t xml:space="preserve"> </w:t>
            </w:r>
          </w:p>
          <w:p w14:paraId="15176D33" w14:textId="38450B12" w:rsidR="00B1531E" w:rsidRPr="009B2BB5" w:rsidRDefault="00B1531E" w:rsidP="00B1531E">
            <w:pPr>
              <w:snapToGrid w:val="0"/>
              <w:spacing w:line="400" w:lineRule="exact"/>
              <w:ind w:firstLineChars="200" w:firstLine="480"/>
              <w:rPr>
                <w:rFonts w:ascii="Times New Roman" w:eastAsia="宋体" w:hAnsi="Times New Roman" w:cs="Times New Roman"/>
                <w:color w:val="000000" w:themeColor="text1"/>
                <w:sz w:val="24"/>
                <w:szCs w:val="24"/>
              </w:rPr>
            </w:pPr>
            <w:r w:rsidRPr="009B2BB5">
              <w:rPr>
                <w:rFonts w:ascii="Times New Roman" w:eastAsia="宋体" w:hAnsi="Times New Roman" w:cs="Times New Roman" w:hint="eastAsia"/>
                <w:color w:val="000000" w:themeColor="text1"/>
                <w:sz w:val="24"/>
                <w:szCs w:val="24"/>
              </w:rPr>
              <w:t>首先，本文研究了</w:t>
            </w:r>
            <w:r>
              <w:rPr>
                <w:rFonts w:ascii="Times New Roman" w:eastAsia="宋体" w:hAnsi="Times New Roman" w:cs="Times New Roman" w:hint="eastAsia"/>
                <w:color w:val="000000" w:themeColor="text1"/>
                <w:sz w:val="24"/>
                <w:szCs w:val="24"/>
              </w:rPr>
              <w:t>两个</w:t>
            </w:r>
            <w:r w:rsidRPr="009B2BB5">
              <w:rPr>
                <w:rFonts w:ascii="Times New Roman" w:eastAsia="宋体" w:hAnsi="Times New Roman" w:cs="Times New Roman" w:hint="eastAsia"/>
                <w:color w:val="000000" w:themeColor="text1"/>
                <w:sz w:val="24"/>
                <w:szCs w:val="24"/>
              </w:rPr>
              <w:t>零售商竞争下</w:t>
            </w:r>
            <w:r>
              <w:rPr>
                <w:rFonts w:ascii="Times New Roman" w:eastAsia="宋体" w:hAnsi="Times New Roman" w:cs="Times New Roman" w:hint="eastAsia"/>
                <w:color w:val="000000" w:themeColor="text1"/>
                <w:sz w:val="24"/>
                <w:szCs w:val="24"/>
              </w:rPr>
              <w:t>考虑成本共担的</w:t>
            </w:r>
            <w:r w:rsidRPr="009B2BB5">
              <w:rPr>
                <w:rFonts w:ascii="Times New Roman" w:eastAsia="宋体" w:hAnsi="Times New Roman" w:cs="Times New Roman" w:hint="eastAsia"/>
                <w:color w:val="000000" w:themeColor="text1"/>
                <w:sz w:val="24"/>
                <w:szCs w:val="24"/>
              </w:rPr>
              <w:t>生鲜产品供应链保鲜及可追溯技术采用策略。结果表明：零售商之间激烈的产品竞争和</w:t>
            </w:r>
            <w:r w:rsidRPr="009B2BB5">
              <w:rPr>
                <w:rFonts w:ascii="Times New Roman" w:eastAsia="宋体" w:hAnsi="Times New Roman" w:cs="Times New Roman"/>
                <w:color w:val="000000" w:themeColor="text1"/>
                <w:sz w:val="24"/>
                <w:szCs w:val="24"/>
              </w:rPr>
              <w:t>消费者对</w:t>
            </w:r>
            <w:r w:rsidRPr="009B2BB5">
              <w:rPr>
                <w:rFonts w:ascii="Times New Roman" w:eastAsia="宋体" w:hAnsi="Times New Roman" w:cs="Times New Roman" w:hint="eastAsia"/>
                <w:color w:val="000000" w:themeColor="text1"/>
                <w:sz w:val="24"/>
                <w:szCs w:val="24"/>
              </w:rPr>
              <w:t>产品检验结果为假的敏感性的提高都会促使零售商采用可追溯技术来增强产品的竞争力。然而，只有当</w:t>
            </w:r>
            <w:r w:rsidRPr="009B2BB5">
              <w:rPr>
                <w:rFonts w:ascii="Times New Roman" w:eastAsia="宋体" w:hAnsi="Times New Roman" w:cs="Times New Roman"/>
                <w:color w:val="000000" w:themeColor="text1"/>
                <w:sz w:val="24"/>
                <w:szCs w:val="24"/>
              </w:rPr>
              <w:t>消费者对</w:t>
            </w:r>
            <w:r w:rsidRPr="009B2BB5">
              <w:rPr>
                <w:rFonts w:ascii="Times New Roman" w:eastAsia="宋体" w:hAnsi="Times New Roman" w:cs="Times New Roman" w:hint="eastAsia"/>
                <w:color w:val="000000" w:themeColor="text1"/>
                <w:sz w:val="24"/>
                <w:szCs w:val="24"/>
              </w:rPr>
              <w:t>产品检验结果为假的敏感性较高时，零售商才应引入可追溯技术。</w:t>
            </w:r>
            <w:r w:rsidRPr="009B2BB5">
              <w:rPr>
                <w:rFonts w:ascii="Times New Roman" w:eastAsia="宋体" w:hAnsi="Times New Roman" w:cs="Times New Roman"/>
                <w:color w:val="000000" w:themeColor="text1"/>
                <w:sz w:val="24"/>
                <w:szCs w:val="24"/>
              </w:rPr>
              <w:t>成本共担</w:t>
            </w:r>
            <w:r w:rsidRPr="009B2BB5">
              <w:rPr>
                <w:rFonts w:ascii="Times New Roman" w:eastAsia="宋体" w:hAnsi="Times New Roman" w:cs="Times New Roman" w:hint="eastAsia"/>
                <w:color w:val="000000" w:themeColor="text1"/>
                <w:sz w:val="24"/>
                <w:szCs w:val="24"/>
              </w:rPr>
              <w:t>契约能够</w:t>
            </w:r>
            <w:r w:rsidRPr="009B2BB5">
              <w:rPr>
                <w:rFonts w:ascii="Times New Roman" w:eastAsia="宋体" w:hAnsi="Times New Roman" w:cs="Times New Roman"/>
                <w:color w:val="000000" w:themeColor="text1"/>
                <w:sz w:val="24"/>
                <w:szCs w:val="24"/>
              </w:rPr>
              <w:t>激励零售商采用可追溯技术并扩大市场份额，但对供应商</w:t>
            </w:r>
            <w:r w:rsidRPr="009B2BB5">
              <w:rPr>
                <w:rFonts w:ascii="Times New Roman" w:eastAsia="宋体" w:hAnsi="Times New Roman" w:cs="Times New Roman" w:hint="eastAsia"/>
                <w:color w:val="000000" w:themeColor="text1"/>
                <w:sz w:val="24"/>
                <w:szCs w:val="24"/>
              </w:rPr>
              <w:t>而言不一定是有利的。</w:t>
            </w:r>
          </w:p>
          <w:p w14:paraId="3EC50948" w14:textId="512B048D" w:rsidR="00B1531E" w:rsidRPr="009B2BB5" w:rsidRDefault="00B1531E" w:rsidP="00B1531E">
            <w:pPr>
              <w:snapToGrid w:val="0"/>
              <w:spacing w:line="400" w:lineRule="exact"/>
              <w:ind w:firstLineChars="200" w:firstLine="480"/>
              <w:rPr>
                <w:rFonts w:ascii="Times New Roman" w:eastAsia="宋体" w:hAnsi="Times New Roman" w:cs="Times New Roman"/>
                <w:color w:val="000000" w:themeColor="text1"/>
                <w:sz w:val="24"/>
                <w:szCs w:val="24"/>
              </w:rPr>
            </w:pPr>
            <w:r w:rsidRPr="009B2BB5">
              <w:rPr>
                <w:rFonts w:ascii="Times New Roman" w:eastAsia="宋体" w:hAnsi="Times New Roman" w:cs="Times New Roman" w:hint="eastAsia"/>
                <w:color w:val="000000" w:themeColor="text1"/>
                <w:sz w:val="24"/>
                <w:szCs w:val="24"/>
              </w:rPr>
              <w:t>其次，本文研究了多个零售商竞争下</w:t>
            </w:r>
            <w:r>
              <w:rPr>
                <w:rFonts w:ascii="Times New Roman" w:eastAsia="宋体" w:hAnsi="Times New Roman" w:cs="Times New Roman" w:hint="eastAsia"/>
                <w:color w:val="000000" w:themeColor="text1"/>
                <w:sz w:val="24"/>
                <w:szCs w:val="24"/>
              </w:rPr>
              <w:t>考虑成本共担的</w:t>
            </w:r>
            <w:r w:rsidRPr="009B2BB5">
              <w:rPr>
                <w:rFonts w:ascii="Times New Roman" w:eastAsia="宋体" w:hAnsi="Times New Roman" w:cs="Times New Roman" w:hint="eastAsia"/>
                <w:color w:val="000000" w:themeColor="text1"/>
                <w:sz w:val="24"/>
                <w:szCs w:val="24"/>
              </w:rPr>
              <w:t>生鲜供应链保鲜及可追溯技术采用策略。结果表明：可追溯</w:t>
            </w:r>
            <w:r w:rsidRPr="009B2BB5">
              <w:rPr>
                <w:rFonts w:ascii="Times New Roman" w:eastAsia="宋体" w:hAnsi="Times New Roman" w:cs="Times New Roman"/>
                <w:color w:val="000000" w:themeColor="text1"/>
                <w:sz w:val="24"/>
                <w:szCs w:val="24"/>
              </w:rPr>
              <w:t>技术的引入对供应</w:t>
            </w:r>
            <w:proofErr w:type="gramStart"/>
            <w:r w:rsidRPr="009B2BB5">
              <w:rPr>
                <w:rFonts w:ascii="Times New Roman" w:eastAsia="宋体" w:hAnsi="Times New Roman" w:cs="Times New Roman"/>
                <w:color w:val="000000" w:themeColor="text1"/>
                <w:sz w:val="24"/>
                <w:szCs w:val="24"/>
              </w:rPr>
              <w:t>商始终</w:t>
            </w:r>
            <w:proofErr w:type="gramEnd"/>
            <w:r w:rsidRPr="009B2BB5">
              <w:rPr>
                <w:rFonts w:ascii="Times New Roman" w:eastAsia="宋体" w:hAnsi="Times New Roman" w:cs="Times New Roman"/>
                <w:color w:val="000000" w:themeColor="text1"/>
                <w:sz w:val="24"/>
                <w:szCs w:val="24"/>
              </w:rPr>
              <w:t>是有利的，但对零售商而言具有明显的</w:t>
            </w:r>
            <w:r w:rsidRPr="009B2BB5">
              <w:rPr>
                <w:rFonts w:ascii="Times New Roman" w:eastAsia="宋体" w:hAnsi="Times New Roman" w:cs="Times New Roman"/>
                <w:color w:val="000000" w:themeColor="text1"/>
                <w:sz w:val="24"/>
                <w:szCs w:val="24"/>
              </w:rPr>
              <w:t>“</w:t>
            </w:r>
            <w:r w:rsidRPr="009B2BB5">
              <w:rPr>
                <w:rFonts w:ascii="Times New Roman" w:eastAsia="宋体" w:hAnsi="Times New Roman" w:cs="Times New Roman"/>
                <w:color w:val="000000" w:themeColor="text1"/>
                <w:sz w:val="24"/>
                <w:szCs w:val="24"/>
              </w:rPr>
              <w:t>协同性</w:t>
            </w:r>
            <w:r w:rsidRPr="009B2BB5">
              <w:rPr>
                <w:rFonts w:ascii="Times New Roman" w:eastAsia="宋体" w:hAnsi="Times New Roman" w:cs="Times New Roman"/>
                <w:color w:val="000000" w:themeColor="text1"/>
                <w:sz w:val="24"/>
                <w:szCs w:val="24"/>
              </w:rPr>
              <w:t>”</w:t>
            </w:r>
            <w:r w:rsidRPr="009B2BB5">
              <w:rPr>
                <w:rFonts w:ascii="Times New Roman" w:eastAsia="宋体" w:hAnsi="Times New Roman" w:cs="Times New Roman"/>
                <w:color w:val="000000" w:themeColor="text1"/>
                <w:sz w:val="24"/>
                <w:szCs w:val="24"/>
              </w:rPr>
              <w:t>特征，</w:t>
            </w:r>
            <w:r w:rsidRPr="009B2BB5">
              <w:rPr>
                <w:rFonts w:ascii="Times New Roman" w:eastAsia="宋体" w:hAnsi="Times New Roman" w:cs="Times New Roman" w:hint="eastAsia"/>
                <w:color w:val="000000" w:themeColor="text1"/>
                <w:sz w:val="24"/>
                <w:szCs w:val="24"/>
              </w:rPr>
              <w:t>个别</w:t>
            </w:r>
            <w:r w:rsidRPr="009B2BB5">
              <w:rPr>
                <w:rFonts w:ascii="Times New Roman" w:eastAsia="宋体" w:hAnsi="Times New Roman" w:cs="Times New Roman"/>
                <w:color w:val="000000" w:themeColor="text1"/>
                <w:sz w:val="24"/>
                <w:szCs w:val="24"/>
              </w:rPr>
              <w:t>引入反而可能削弱其竞争力</w:t>
            </w:r>
            <w:r w:rsidRPr="009B2BB5">
              <w:rPr>
                <w:rFonts w:ascii="Times New Roman" w:eastAsia="宋体" w:hAnsi="Times New Roman" w:cs="Times New Roman" w:hint="eastAsia"/>
                <w:color w:val="000000" w:themeColor="text1"/>
                <w:sz w:val="24"/>
                <w:szCs w:val="24"/>
              </w:rPr>
              <w:t>。</w:t>
            </w:r>
            <w:r w:rsidRPr="009B2BB5">
              <w:rPr>
                <w:rFonts w:ascii="Times New Roman" w:eastAsia="宋体" w:hAnsi="Times New Roman" w:cs="Times New Roman"/>
                <w:color w:val="000000" w:themeColor="text1"/>
                <w:sz w:val="24"/>
                <w:szCs w:val="24"/>
              </w:rPr>
              <w:t>供应商可通过</w:t>
            </w:r>
            <w:r w:rsidRPr="009B2BB5">
              <w:rPr>
                <w:rFonts w:ascii="Times New Roman" w:eastAsia="宋体" w:hAnsi="Times New Roman" w:cs="Times New Roman" w:hint="eastAsia"/>
                <w:color w:val="000000" w:themeColor="text1"/>
                <w:sz w:val="24"/>
                <w:szCs w:val="24"/>
              </w:rPr>
              <w:t>成本共担契约</w:t>
            </w:r>
            <w:r w:rsidRPr="009B2BB5">
              <w:rPr>
                <w:rFonts w:ascii="Times New Roman" w:eastAsia="宋体" w:hAnsi="Times New Roman" w:cs="Times New Roman"/>
                <w:color w:val="000000" w:themeColor="text1"/>
                <w:sz w:val="24"/>
                <w:szCs w:val="24"/>
              </w:rPr>
              <w:t>激励零售商</w:t>
            </w:r>
            <w:r w:rsidRPr="009B2BB5">
              <w:rPr>
                <w:rFonts w:ascii="Times New Roman" w:eastAsia="宋体" w:hAnsi="Times New Roman" w:cs="Times New Roman" w:hint="eastAsia"/>
                <w:color w:val="000000" w:themeColor="text1"/>
                <w:sz w:val="24"/>
                <w:szCs w:val="24"/>
              </w:rPr>
              <w:t>采用可追溯技术</w:t>
            </w:r>
            <w:r w:rsidRPr="009B2BB5">
              <w:rPr>
                <w:rFonts w:ascii="Times New Roman" w:eastAsia="宋体" w:hAnsi="Times New Roman" w:cs="Times New Roman"/>
                <w:color w:val="000000" w:themeColor="text1"/>
                <w:sz w:val="24"/>
                <w:szCs w:val="24"/>
              </w:rPr>
              <w:t>，但需合理设定</w:t>
            </w:r>
            <w:r w:rsidRPr="009B2BB5">
              <w:rPr>
                <w:rFonts w:ascii="Times New Roman" w:eastAsia="宋体" w:hAnsi="Times New Roman" w:cs="Times New Roman" w:hint="eastAsia"/>
                <w:color w:val="000000" w:themeColor="text1"/>
                <w:sz w:val="24"/>
                <w:szCs w:val="24"/>
              </w:rPr>
              <w:t>承担</w:t>
            </w:r>
            <w:r w:rsidRPr="009B2BB5">
              <w:rPr>
                <w:rFonts w:ascii="Times New Roman" w:eastAsia="宋体" w:hAnsi="Times New Roman" w:cs="Times New Roman"/>
                <w:color w:val="000000" w:themeColor="text1"/>
                <w:sz w:val="24"/>
                <w:szCs w:val="24"/>
              </w:rPr>
              <w:t>比例，避免因让利过度而削弱自身利润。</w:t>
            </w:r>
          </w:p>
          <w:p w14:paraId="2801DB23" w14:textId="7A5A6445" w:rsidR="00B1531E" w:rsidRPr="00C82B33" w:rsidRDefault="00B1531E" w:rsidP="00B1531E">
            <w:pPr>
              <w:snapToGrid w:val="0"/>
              <w:spacing w:line="400" w:lineRule="exact"/>
              <w:ind w:firstLineChars="200" w:firstLine="480"/>
              <w:rPr>
                <w:rFonts w:ascii="Times New Roman" w:eastAsia="宋体" w:hAnsi="Times New Roman" w:cs="Times New Roman"/>
                <w:color w:val="000000" w:themeColor="text1"/>
                <w:sz w:val="24"/>
                <w:szCs w:val="24"/>
              </w:rPr>
            </w:pPr>
            <w:r w:rsidRPr="00C82B33">
              <w:rPr>
                <w:rFonts w:ascii="Times New Roman" w:eastAsia="宋体" w:hAnsi="Times New Roman" w:cs="Times New Roman" w:hint="eastAsia"/>
                <w:color w:val="000000" w:themeColor="text1"/>
                <w:sz w:val="24"/>
                <w:szCs w:val="24"/>
              </w:rPr>
              <w:t>进一步地，本研究探讨了供应</w:t>
            </w:r>
            <w:proofErr w:type="gramStart"/>
            <w:r w:rsidRPr="00C82B33">
              <w:rPr>
                <w:rFonts w:ascii="Times New Roman" w:eastAsia="宋体" w:hAnsi="Times New Roman" w:cs="Times New Roman" w:hint="eastAsia"/>
                <w:color w:val="000000" w:themeColor="text1"/>
                <w:sz w:val="24"/>
                <w:szCs w:val="24"/>
              </w:rPr>
              <w:t>链竞争</w:t>
            </w:r>
            <w:proofErr w:type="gramEnd"/>
            <w:r w:rsidRPr="00C82B33">
              <w:rPr>
                <w:rFonts w:ascii="Times New Roman" w:eastAsia="宋体" w:hAnsi="Times New Roman" w:cs="Times New Roman" w:hint="eastAsia"/>
                <w:color w:val="000000" w:themeColor="text1"/>
                <w:sz w:val="24"/>
                <w:szCs w:val="24"/>
              </w:rPr>
              <w:t>背景下</w:t>
            </w:r>
            <w:r>
              <w:rPr>
                <w:rFonts w:ascii="Times New Roman" w:eastAsia="宋体" w:hAnsi="Times New Roman" w:cs="Times New Roman" w:hint="eastAsia"/>
                <w:color w:val="000000" w:themeColor="text1"/>
                <w:sz w:val="24"/>
                <w:szCs w:val="24"/>
              </w:rPr>
              <w:t>考虑成本共担的</w:t>
            </w:r>
            <w:r w:rsidRPr="00C82B33">
              <w:rPr>
                <w:rFonts w:ascii="Times New Roman" w:eastAsia="宋体" w:hAnsi="Times New Roman" w:cs="Times New Roman" w:hint="eastAsia"/>
                <w:color w:val="000000" w:themeColor="text1"/>
                <w:sz w:val="24"/>
                <w:szCs w:val="24"/>
              </w:rPr>
              <w:t>生鲜供应链保鲜及可追溯技术采用策略。结果表明：</w:t>
            </w:r>
            <w:r w:rsidRPr="00C82B33">
              <w:rPr>
                <w:rFonts w:ascii="Times New Roman" w:eastAsia="宋体" w:hAnsi="Times New Roman" w:cs="Times New Roman"/>
                <w:color w:val="000000" w:themeColor="text1"/>
                <w:sz w:val="24"/>
                <w:szCs w:val="24"/>
              </w:rPr>
              <w:t>尽管</w:t>
            </w:r>
            <w:r w:rsidRPr="00C82B33">
              <w:rPr>
                <w:rFonts w:ascii="Times New Roman" w:eastAsia="宋体" w:hAnsi="Times New Roman" w:cs="Times New Roman" w:hint="eastAsia"/>
                <w:color w:val="000000" w:themeColor="text1"/>
                <w:sz w:val="24"/>
                <w:szCs w:val="24"/>
              </w:rPr>
              <w:t>成本共担契约</w:t>
            </w:r>
            <w:r w:rsidRPr="00C82B33">
              <w:rPr>
                <w:rFonts w:ascii="Times New Roman" w:eastAsia="宋体" w:hAnsi="Times New Roman" w:cs="Times New Roman"/>
                <w:color w:val="000000" w:themeColor="text1"/>
                <w:sz w:val="24"/>
                <w:szCs w:val="24"/>
              </w:rPr>
              <w:t>在促进零售商采</w:t>
            </w:r>
            <w:r w:rsidRPr="00C82B33">
              <w:rPr>
                <w:rFonts w:ascii="Times New Roman" w:eastAsia="宋体" w:hAnsi="Times New Roman" w:cs="Times New Roman" w:hint="eastAsia"/>
                <w:color w:val="000000" w:themeColor="text1"/>
                <w:sz w:val="24"/>
                <w:szCs w:val="24"/>
              </w:rPr>
              <w:t>用可追溯</w:t>
            </w:r>
            <w:r w:rsidRPr="00C82B33">
              <w:rPr>
                <w:rFonts w:ascii="Times New Roman" w:eastAsia="宋体" w:hAnsi="Times New Roman" w:cs="Times New Roman"/>
                <w:color w:val="000000" w:themeColor="text1"/>
                <w:sz w:val="24"/>
                <w:szCs w:val="24"/>
              </w:rPr>
              <w:t>技术方面具有积极作用，但</w:t>
            </w:r>
            <w:r w:rsidRPr="00C82B33">
              <w:rPr>
                <w:rFonts w:ascii="Times New Roman" w:eastAsia="宋体" w:hAnsi="Times New Roman" w:cs="Times New Roman" w:hint="eastAsia"/>
                <w:color w:val="000000" w:themeColor="text1"/>
                <w:sz w:val="24"/>
                <w:szCs w:val="24"/>
              </w:rPr>
              <w:t>供应商的</w:t>
            </w:r>
            <w:r w:rsidRPr="00C82B33">
              <w:rPr>
                <w:rFonts w:ascii="Times New Roman" w:eastAsia="宋体" w:hAnsi="Times New Roman" w:cs="Times New Roman"/>
                <w:color w:val="000000" w:themeColor="text1"/>
                <w:sz w:val="24"/>
                <w:szCs w:val="24"/>
              </w:rPr>
              <w:t>边际效益呈递减趋势</w:t>
            </w:r>
            <w:r w:rsidRPr="00C82B33">
              <w:rPr>
                <w:rFonts w:ascii="Times New Roman" w:eastAsia="宋体" w:hAnsi="Times New Roman" w:cs="Times New Roman" w:hint="eastAsia"/>
                <w:color w:val="000000" w:themeColor="text1"/>
                <w:sz w:val="24"/>
                <w:szCs w:val="24"/>
              </w:rPr>
              <w:t>，且</w:t>
            </w:r>
            <w:r w:rsidRPr="00C82B33">
              <w:rPr>
                <w:rFonts w:ascii="Times New Roman" w:eastAsia="宋体" w:hAnsi="Times New Roman" w:cs="Times New Roman"/>
                <w:color w:val="000000" w:themeColor="text1"/>
                <w:sz w:val="24"/>
                <w:szCs w:val="24"/>
              </w:rPr>
              <w:t>过度的成本承担可能对供应商的</w:t>
            </w:r>
            <w:r w:rsidRPr="00C82B33">
              <w:rPr>
                <w:rFonts w:ascii="Times New Roman" w:eastAsia="宋体" w:hAnsi="Times New Roman" w:cs="Times New Roman" w:hint="eastAsia"/>
                <w:color w:val="000000" w:themeColor="text1"/>
                <w:sz w:val="24"/>
                <w:szCs w:val="24"/>
              </w:rPr>
              <w:t>盈利能力及其</w:t>
            </w:r>
            <w:r w:rsidRPr="00C82B33">
              <w:rPr>
                <w:rFonts w:ascii="Times New Roman" w:eastAsia="宋体" w:hAnsi="Times New Roman" w:cs="Times New Roman"/>
                <w:color w:val="000000" w:themeColor="text1"/>
                <w:sz w:val="24"/>
                <w:szCs w:val="24"/>
              </w:rPr>
              <w:t>长期可持续发展构成潜在威胁。</w:t>
            </w:r>
            <w:r w:rsidRPr="00C82B33">
              <w:rPr>
                <w:rFonts w:ascii="Times New Roman" w:eastAsia="宋体" w:hAnsi="Times New Roman" w:cs="Times New Roman" w:hint="eastAsia"/>
                <w:color w:val="000000" w:themeColor="text1"/>
                <w:sz w:val="24"/>
                <w:szCs w:val="24"/>
              </w:rPr>
              <w:t>此外，</w:t>
            </w:r>
            <w:r w:rsidRPr="00C82B33">
              <w:rPr>
                <w:rFonts w:ascii="Times New Roman" w:eastAsia="宋体" w:hAnsi="Times New Roman" w:cs="Times New Roman"/>
                <w:color w:val="000000" w:themeColor="text1"/>
                <w:sz w:val="24"/>
                <w:szCs w:val="24"/>
              </w:rPr>
              <w:t>成本</w:t>
            </w:r>
            <w:r w:rsidRPr="00C82B33">
              <w:rPr>
                <w:rFonts w:ascii="Times New Roman" w:eastAsia="宋体" w:hAnsi="Times New Roman" w:cs="Times New Roman" w:hint="eastAsia"/>
                <w:color w:val="000000" w:themeColor="text1"/>
                <w:sz w:val="24"/>
                <w:szCs w:val="24"/>
              </w:rPr>
              <w:t>共担</w:t>
            </w:r>
            <w:r w:rsidRPr="00C82B33">
              <w:rPr>
                <w:rFonts w:ascii="Times New Roman" w:eastAsia="宋体" w:hAnsi="Times New Roman" w:cs="Times New Roman"/>
                <w:color w:val="000000" w:themeColor="text1"/>
                <w:sz w:val="24"/>
                <w:szCs w:val="24"/>
              </w:rPr>
              <w:t>主体的数量与分担力度对可追溯技术在低消费者偏好市场中的推广效果具有重要影响。</w:t>
            </w:r>
          </w:p>
          <w:p w14:paraId="10CF9550" w14:textId="77777777" w:rsidR="000F33B2" w:rsidRDefault="00B1531E" w:rsidP="007311C7">
            <w:pPr>
              <w:snapToGrid w:val="0"/>
              <w:spacing w:line="400" w:lineRule="exact"/>
              <w:ind w:firstLineChars="200" w:firstLine="480"/>
              <w:rPr>
                <w:rFonts w:ascii="Times New Roman" w:eastAsia="宋体" w:hAnsi="Times New Roman" w:cs="Times New Roman"/>
                <w:sz w:val="24"/>
                <w:szCs w:val="24"/>
              </w:rPr>
            </w:pPr>
            <w:r w:rsidRPr="009B2BB5">
              <w:rPr>
                <w:rFonts w:ascii="Times New Roman" w:eastAsia="宋体" w:hAnsi="Times New Roman" w:cs="Times New Roman" w:hint="eastAsia"/>
                <w:color w:val="000000" w:themeColor="text1"/>
                <w:sz w:val="24"/>
                <w:szCs w:val="24"/>
              </w:rPr>
              <w:t>最后，本文研究了供应</w:t>
            </w:r>
            <w:proofErr w:type="gramStart"/>
            <w:r w:rsidRPr="009B2BB5">
              <w:rPr>
                <w:rFonts w:ascii="Times New Roman" w:eastAsia="宋体" w:hAnsi="Times New Roman" w:cs="Times New Roman" w:hint="eastAsia"/>
                <w:color w:val="000000" w:themeColor="text1"/>
                <w:sz w:val="24"/>
                <w:szCs w:val="24"/>
              </w:rPr>
              <w:t>链竞争</w:t>
            </w:r>
            <w:proofErr w:type="gramEnd"/>
            <w:r w:rsidRPr="009B2BB5">
              <w:rPr>
                <w:rFonts w:ascii="Times New Roman" w:eastAsia="宋体" w:hAnsi="Times New Roman" w:cs="Times New Roman" w:hint="eastAsia"/>
                <w:color w:val="000000" w:themeColor="text1"/>
                <w:sz w:val="24"/>
                <w:szCs w:val="24"/>
              </w:rPr>
              <w:t>下考虑随机需求的生鲜</w:t>
            </w:r>
            <w:proofErr w:type="gramStart"/>
            <w:r>
              <w:rPr>
                <w:rFonts w:ascii="Times New Roman" w:eastAsia="宋体" w:hAnsi="Times New Roman" w:cs="Times New Roman" w:hint="eastAsia"/>
                <w:color w:val="000000" w:themeColor="text1"/>
                <w:sz w:val="24"/>
                <w:szCs w:val="24"/>
              </w:rPr>
              <w:t>双渠道</w:t>
            </w:r>
            <w:proofErr w:type="gramEnd"/>
            <w:r w:rsidRPr="009B2BB5">
              <w:rPr>
                <w:rFonts w:ascii="Times New Roman" w:eastAsia="宋体" w:hAnsi="Times New Roman" w:cs="Times New Roman" w:hint="eastAsia"/>
                <w:color w:val="000000" w:themeColor="text1"/>
                <w:sz w:val="24"/>
                <w:szCs w:val="24"/>
              </w:rPr>
              <w:t>供应链保鲜策略。</w:t>
            </w:r>
            <w:r w:rsidRPr="00BE07BA">
              <w:rPr>
                <w:rFonts w:ascii="Times New Roman" w:eastAsia="宋体" w:hAnsi="Times New Roman" w:cs="Times New Roman" w:hint="eastAsia"/>
                <w:sz w:val="24"/>
                <w:szCs w:val="24"/>
              </w:rPr>
              <w:t>结果表明：</w:t>
            </w:r>
            <w:r w:rsidRPr="00BE07BA">
              <w:rPr>
                <w:rFonts w:ascii="Times New Roman" w:eastAsia="宋体" w:hAnsi="Times New Roman" w:cs="Times New Roman"/>
                <w:sz w:val="24"/>
                <w:szCs w:val="24"/>
              </w:rPr>
              <w:t>无论消费者</w:t>
            </w:r>
            <w:r>
              <w:rPr>
                <w:rFonts w:ascii="Times New Roman" w:eastAsia="宋体" w:hAnsi="Times New Roman" w:cs="Times New Roman" w:hint="eastAsia"/>
                <w:sz w:val="24"/>
                <w:szCs w:val="24"/>
              </w:rPr>
              <w:t>对产品</w:t>
            </w:r>
            <w:r w:rsidRPr="00BE07BA">
              <w:rPr>
                <w:rFonts w:ascii="Times New Roman" w:eastAsia="宋体" w:hAnsi="Times New Roman" w:cs="Times New Roman" w:hint="eastAsia"/>
                <w:sz w:val="24"/>
                <w:szCs w:val="24"/>
              </w:rPr>
              <w:t>的新</w:t>
            </w:r>
            <w:r w:rsidRPr="00BE07BA">
              <w:rPr>
                <w:rFonts w:ascii="Times New Roman" w:eastAsia="宋体" w:hAnsi="Times New Roman" w:cs="Times New Roman"/>
                <w:sz w:val="24"/>
                <w:szCs w:val="24"/>
              </w:rPr>
              <w:t>鲜度偏好是高还是低，供应商</w:t>
            </w:r>
            <w:r w:rsidRPr="00BE07BA">
              <w:rPr>
                <w:rFonts w:ascii="Times New Roman" w:eastAsia="宋体" w:hAnsi="Times New Roman" w:cs="Times New Roman" w:hint="eastAsia"/>
                <w:sz w:val="24"/>
                <w:szCs w:val="24"/>
              </w:rPr>
              <w:t>均</w:t>
            </w:r>
            <w:r w:rsidRPr="00BE07BA">
              <w:rPr>
                <w:rFonts w:ascii="Times New Roman" w:eastAsia="宋体" w:hAnsi="Times New Roman" w:cs="Times New Roman"/>
                <w:sz w:val="24"/>
                <w:szCs w:val="24"/>
              </w:rPr>
              <w:t>能从零售商的保鲜努力中</w:t>
            </w:r>
            <w:r w:rsidRPr="00BE07BA">
              <w:rPr>
                <w:rFonts w:ascii="Times New Roman" w:eastAsia="宋体" w:hAnsi="Times New Roman" w:cs="Times New Roman" w:hint="eastAsia"/>
                <w:sz w:val="24"/>
                <w:szCs w:val="24"/>
              </w:rPr>
              <w:t>获益</w:t>
            </w:r>
            <w:r w:rsidRPr="00BE07BA">
              <w:rPr>
                <w:rFonts w:ascii="Times New Roman" w:eastAsia="宋体" w:hAnsi="Times New Roman" w:cs="Times New Roman"/>
                <w:sz w:val="24"/>
                <w:szCs w:val="24"/>
              </w:rPr>
              <w:t>。如果更多</w:t>
            </w:r>
            <w:r w:rsidRPr="00BE07BA">
              <w:rPr>
                <w:rFonts w:ascii="Times New Roman" w:eastAsia="宋体" w:hAnsi="Times New Roman" w:cs="Times New Roman" w:hint="eastAsia"/>
                <w:sz w:val="24"/>
                <w:szCs w:val="24"/>
              </w:rPr>
              <w:t>的</w:t>
            </w:r>
            <w:r w:rsidRPr="00BE07BA">
              <w:rPr>
                <w:rFonts w:ascii="Times New Roman" w:eastAsia="宋体" w:hAnsi="Times New Roman" w:cs="Times New Roman"/>
                <w:sz w:val="24"/>
                <w:szCs w:val="24"/>
              </w:rPr>
              <w:t>零售商投入保鲜努力，供应商将获得更</w:t>
            </w:r>
            <w:r w:rsidRPr="00BE07BA">
              <w:rPr>
                <w:rFonts w:ascii="Times New Roman" w:eastAsia="宋体" w:hAnsi="Times New Roman" w:cs="Times New Roman" w:hint="eastAsia"/>
                <w:sz w:val="24"/>
                <w:szCs w:val="24"/>
              </w:rPr>
              <w:t>高</w:t>
            </w:r>
            <w:r w:rsidRPr="00BE07BA">
              <w:rPr>
                <w:rFonts w:ascii="Times New Roman" w:eastAsia="宋体" w:hAnsi="Times New Roman" w:cs="Times New Roman"/>
                <w:sz w:val="24"/>
                <w:szCs w:val="24"/>
              </w:rPr>
              <w:t>的利润。</w:t>
            </w:r>
            <w:r w:rsidRPr="00BE07BA">
              <w:rPr>
                <w:rFonts w:ascii="Times New Roman" w:eastAsia="宋体" w:hAnsi="Times New Roman" w:cs="Times New Roman" w:hint="eastAsia"/>
                <w:sz w:val="24"/>
                <w:szCs w:val="24"/>
              </w:rPr>
              <w:t>零售商投资保鲜努力对其并不总是有利的，</w:t>
            </w:r>
            <w:r w:rsidRPr="00BE07BA">
              <w:rPr>
                <w:rFonts w:ascii="Times New Roman" w:eastAsia="宋体" w:hAnsi="Times New Roman" w:cs="Times New Roman"/>
                <w:sz w:val="24"/>
                <w:szCs w:val="24"/>
              </w:rPr>
              <w:t>其</w:t>
            </w:r>
            <w:r w:rsidRPr="00BE07BA">
              <w:rPr>
                <w:rFonts w:ascii="Times New Roman" w:eastAsia="宋体" w:hAnsi="Times New Roman" w:cs="Times New Roman" w:hint="eastAsia"/>
                <w:sz w:val="24"/>
                <w:szCs w:val="24"/>
              </w:rPr>
              <w:t>应根据消费者的</w:t>
            </w:r>
            <w:r>
              <w:rPr>
                <w:rFonts w:ascii="Times New Roman" w:eastAsia="宋体" w:hAnsi="Times New Roman" w:cs="Times New Roman" w:hint="eastAsia"/>
                <w:sz w:val="24"/>
                <w:szCs w:val="24"/>
              </w:rPr>
              <w:t>新鲜度</w:t>
            </w:r>
            <w:r w:rsidRPr="00BE07BA">
              <w:rPr>
                <w:rFonts w:ascii="Times New Roman" w:eastAsia="宋体" w:hAnsi="Times New Roman" w:cs="Times New Roman" w:hint="eastAsia"/>
                <w:sz w:val="24"/>
                <w:szCs w:val="24"/>
              </w:rPr>
              <w:t>偏好对产品采取灵活的保鲜措施。此外，消费者新鲜度偏好的提高会促使零售商采用更先进的保鲜技术以获得更高的收益。</w:t>
            </w:r>
            <w:bookmarkEnd w:id="1"/>
          </w:p>
          <w:p w14:paraId="31685A9E" w14:textId="2788A815" w:rsidR="007311C7" w:rsidRPr="007311C7" w:rsidRDefault="007311C7" w:rsidP="007311C7">
            <w:pPr>
              <w:snapToGrid w:val="0"/>
              <w:spacing w:line="400" w:lineRule="exact"/>
              <w:rPr>
                <w:rFonts w:ascii="Times New Roman" w:eastAsia="宋体" w:hAnsi="Times New Roman" w:cs="Times New Roman" w:hint="eastAsia"/>
                <w:sz w:val="24"/>
                <w:szCs w:val="24"/>
              </w:rPr>
            </w:pPr>
          </w:p>
        </w:tc>
      </w:tr>
    </w:tbl>
    <w:p w14:paraId="5F58443C" w14:textId="77777777" w:rsidR="00000000" w:rsidRPr="00F94709" w:rsidRDefault="00000000" w:rsidP="00F95865">
      <w:pPr>
        <w:rPr>
          <w:sz w:val="24"/>
          <w:szCs w:val="24"/>
        </w:rPr>
      </w:pPr>
    </w:p>
    <w:sectPr w:rsidR="003A748B" w:rsidRPr="00F94709" w:rsidSect="000C30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5623C" w14:textId="77777777" w:rsidR="002036E7" w:rsidRDefault="002036E7" w:rsidP="00BA5512">
      <w:r>
        <w:separator/>
      </w:r>
    </w:p>
  </w:endnote>
  <w:endnote w:type="continuationSeparator" w:id="0">
    <w:p w14:paraId="3E3DEC7A" w14:textId="77777777" w:rsidR="002036E7" w:rsidRDefault="002036E7" w:rsidP="00BA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C271A" w14:textId="77777777" w:rsidR="002036E7" w:rsidRDefault="002036E7" w:rsidP="00BA5512">
      <w:r>
        <w:separator/>
      </w:r>
    </w:p>
  </w:footnote>
  <w:footnote w:type="continuationSeparator" w:id="0">
    <w:p w14:paraId="64E50EAE" w14:textId="77777777" w:rsidR="002036E7" w:rsidRDefault="002036E7" w:rsidP="00BA55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F7766"/>
    <w:rsid w:val="000561F3"/>
    <w:rsid w:val="000C309C"/>
    <w:rsid w:val="000F33B2"/>
    <w:rsid w:val="0014433F"/>
    <w:rsid w:val="001A5243"/>
    <w:rsid w:val="001B350E"/>
    <w:rsid w:val="002036E7"/>
    <w:rsid w:val="003D17E1"/>
    <w:rsid w:val="003D4482"/>
    <w:rsid w:val="003F7766"/>
    <w:rsid w:val="00445EA3"/>
    <w:rsid w:val="00567FA6"/>
    <w:rsid w:val="00671515"/>
    <w:rsid w:val="006940BD"/>
    <w:rsid w:val="006D7BC5"/>
    <w:rsid w:val="007161AA"/>
    <w:rsid w:val="00717274"/>
    <w:rsid w:val="007311C7"/>
    <w:rsid w:val="00776AA6"/>
    <w:rsid w:val="00855B94"/>
    <w:rsid w:val="008B6443"/>
    <w:rsid w:val="00953245"/>
    <w:rsid w:val="009F37AD"/>
    <w:rsid w:val="00A26486"/>
    <w:rsid w:val="00B1531E"/>
    <w:rsid w:val="00BA5512"/>
    <w:rsid w:val="00CA3673"/>
    <w:rsid w:val="00D01C3B"/>
    <w:rsid w:val="00DA647F"/>
    <w:rsid w:val="00F14DF6"/>
    <w:rsid w:val="00F94709"/>
    <w:rsid w:val="00F95865"/>
    <w:rsid w:val="00FB7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5C9ECB"/>
  <w15:docId w15:val="{1AE0B5C9-486F-4FCB-95F8-AA9BC3ED1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30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551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A5512"/>
    <w:rPr>
      <w:sz w:val="18"/>
      <w:szCs w:val="18"/>
    </w:rPr>
  </w:style>
  <w:style w:type="paragraph" w:styleId="a5">
    <w:name w:val="footer"/>
    <w:basedOn w:val="a"/>
    <w:link w:val="a6"/>
    <w:uiPriority w:val="99"/>
    <w:unhideWhenUsed/>
    <w:rsid w:val="00BA5512"/>
    <w:pPr>
      <w:tabs>
        <w:tab w:val="center" w:pos="4153"/>
        <w:tab w:val="right" w:pos="8306"/>
      </w:tabs>
      <w:snapToGrid w:val="0"/>
      <w:jc w:val="left"/>
    </w:pPr>
    <w:rPr>
      <w:sz w:val="18"/>
      <w:szCs w:val="18"/>
    </w:rPr>
  </w:style>
  <w:style w:type="character" w:customStyle="1" w:styleId="a6">
    <w:name w:val="页脚 字符"/>
    <w:basedOn w:val="a0"/>
    <w:link w:val="a5"/>
    <w:uiPriority w:val="99"/>
    <w:rsid w:val="00BA551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574479">
      <w:bodyDiv w:val="1"/>
      <w:marLeft w:val="0"/>
      <w:marRight w:val="0"/>
      <w:marTop w:val="0"/>
      <w:marBottom w:val="0"/>
      <w:divBdr>
        <w:top w:val="none" w:sz="0" w:space="0" w:color="auto"/>
        <w:left w:val="none" w:sz="0" w:space="0" w:color="auto"/>
        <w:bottom w:val="none" w:sz="0" w:space="0" w:color="auto"/>
        <w:right w:val="none" w:sz="0" w:space="0" w:color="auto"/>
      </w:divBdr>
    </w:div>
    <w:div w:id="131892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487</Words>
  <Characters>488</Characters>
  <Application>Microsoft Office Word</Application>
  <DocSecurity>0</DocSecurity>
  <Lines>18</Lines>
  <Paragraphs>15</Paragraphs>
  <ScaleCrop>false</ScaleCrop>
  <Company>Lenovo</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雪 陈</cp:lastModifiedBy>
  <cp:revision>20</cp:revision>
  <cp:lastPrinted>2017-01-06T07:14:00Z</cp:lastPrinted>
  <dcterms:created xsi:type="dcterms:W3CDTF">2017-01-06T06:51:00Z</dcterms:created>
  <dcterms:modified xsi:type="dcterms:W3CDTF">2025-11-13T02:37:00Z</dcterms:modified>
</cp:coreProperties>
</file>