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F9BDB">
      <w:pPr>
        <w:pStyle w:val="3"/>
        <w:numPr>
          <w:ilvl w:val="0"/>
          <w:numId w:val="0"/>
        </w:numPr>
        <w:ind w:leftChars="0"/>
        <w:jc w:val="center"/>
        <w:rPr>
          <w:sz w:val="28"/>
          <w:szCs w:val="28"/>
        </w:rPr>
      </w:pPr>
      <w:r>
        <w:rPr>
          <w:color w:val="auto"/>
          <w:sz w:val="28"/>
          <w:szCs w:val="28"/>
          <w:highlight w:val="none"/>
        </w:rPr>
        <w:t>4.4</w:t>
      </w:r>
      <w:r>
        <w:rPr>
          <w:sz w:val="28"/>
          <w:szCs w:val="28"/>
        </w:rPr>
        <w:t xml:space="preserve"> </w:t>
      </w:r>
      <w:bookmarkStart w:id="0" w:name="_Toc477248539"/>
      <w:r>
        <w:rPr>
          <w:sz w:val="28"/>
          <w:szCs w:val="28"/>
        </w:rPr>
        <w:t>报价表</w:t>
      </w:r>
      <w:bookmarkEnd w:id="0"/>
    </w:p>
    <w:tbl>
      <w:tblPr>
        <w:tblStyle w:val="5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3389"/>
        <w:gridCol w:w="3392"/>
      </w:tblGrid>
      <w:tr w14:paraId="0A7EF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0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AEE7B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项目名称</w:t>
            </w:r>
          </w:p>
        </w:tc>
        <w:tc>
          <w:tcPr>
            <w:tcW w:w="19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0BE14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9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DC5EB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市场基准价</w:t>
            </w:r>
          </w:p>
        </w:tc>
      </w:tr>
      <w:tr w14:paraId="1CF50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FFF5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采购项目编号</w:t>
            </w:r>
          </w:p>
        </w:tc>
        <w:tc>
          <w:tcPr>
            <w:tcW w:w="19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04024D">
            <w:pPr>
              <w:widowControl/>
              <w:spacing w:line="360" w:lineRule="auto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98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746C92A">
            <w:pPr>
              <w:widowControl/>
              <w:spacing w:line="360" w:lineRule="auto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参考每周期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成都沙西农副产品批发市场、永辉超市、犀浦国宁市场调查价格的平均值为基准价</w:t>
            </w:r>
          </w:p>
        </w:tc>
      </w:tr>
      <w:tr w14:paraId="0F7B7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7" w:hRule="atLeast"/>
          <w:jc w:val="center"/>
        </w:trPr>
        <w:tc>
          <w:tcPr>
            <w:tcW w:w="10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767B8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报价浮动比例</w:t>
            </w:r>
          </w:p>
          <w:p w14:paraId="7672C852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（%）</w:t>
            </w:r>
          </w:p>
        </w:tc>
        <w:tc>
          <w:tcPr>
            <w:tcW w:w="19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7BE0C2">
            <w:pPr>
              <w:widowControl/>
              <w:spacing w:line="360" w:lineRule="auto"/>
              <w:rPr>
                <w:rFonts w:ascii="Times New Roman" w:hAnsi="Times New Roman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X1：</w:t>
            </w:r>
            <w:r>
              <w:rPr>
                <w:rFonts w:ascii="Times New Roman" w:hAnsi="Times New Roman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   </w:t>
            </w:r>
          </w:p>
          <w:p w14:paraId="276A4CC4">
            <w:pPr>
              <w:widowControl/>
              <w:spacing w:line="360" w:lineRule="auto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X2：</w:t>
            </w:r>
            <w:r>
              <w:rPr>
                <w:rFonts w:ascii="Times New Roman" w:hAnsi="Times New Roman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   </w:t>
            </w:r>
          </w:p>
        </w:tc>
        <w:tc>
          <w:tcPr>
            <w:tcW w:w="198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0F84F4">
            <w:pPr>
              <w:widowControl/>
              <w:spacing w:line="360" w:lineRule="auto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E73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  <w:jc w:val="center"/>
        </w:trPr>
        <w:tc>
          <w:tcPr>
            <w:tcW w:w="50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7C0D0">
            <w:pPr>
              <w:ind w:firstLine="420" w:firstLineChars="20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D6CE265">
            <w:pPr>
              <w:ind w:firstLine="420" w:firstLineChars="20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特别说明事项：</w:t>
            </w:r>
          </w:p>
          <w:p w14:paraId="123E0477">
            <w:pPr>
              <w:widowControl/>
              <w:spacing w:line="360" w:lineRule="auto"/>
              <w:rPr>
                <w:rFonts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7CAACF3">
      <w:pPr>
        <w:spacing w:line="440" w:lineRule="exact"/>
        <w:ind w:left="567" w:hanging="567" w:hangingChars="270"/>
        <w:jc w:val="left"/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说明：</w:t>
      </w:r>
    </w:p>
    <w:p w14:paraId="3559E67B">
      <w:pPr>
        <w:spacing w:line="440" w:lineRule="exact"/>
        <w:ind w:left="283" w:leftChars="1" w:hanging="281" w:hangingChars="134"/>
        <w:jc w:val="left"/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1" w:name="_GoBack"/>
      <w:bookmarkEnd w:id="1"/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1. 报价表中的“报价”是报价物资及相关服务等全部费用的报价，包括但不限于货物、人工、包装、交通运输、搬运、合理损耗、</w:t>
      </w:r>
      <w:r>
        <w:rPr>
          <w:rFonts w:hint="eastAsia" w:ascii="Times New Roman" w:hAnsi="Times New Roman" w:eastAsia="宋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售后服务、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保险、税费等一切费用，采购人不再承担其他任何费用。 </w:t>
      </w:r>
    </w:p>
    <w:p w14:paraId="54EBCE6E">
      <w:pPr>
        <w:spacing w:line="440" w:lineRule="exact"/>
        <w:ind w:left="283" w:leftChars="1" w:hanging="281" w:hangingChars="134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2.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>报价</w:t>
      </w:r>
      <w:r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>表中的“报价</w:t>
      </w:r>
      <w:r>
        <w:rPr>
          <w:rFonts w:ascii="Times New Roman" w:hAnsi="Times New Roman"/>
          <w:b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浮动比例</w:t>
      </w:r>
      <w:r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>”范围：</w:t>
      </w:r>
      <w:r>
        <w:rPr>
          <w:rFonts w:hint="eastAsia" w:ascii="Times New Roman" w:hAnsi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-49%≤X1%≤-1%，+1%≤X2%≤+7%</w:t>
      </w:r>
      <w:r>
        <w:rPr>
          <w:rFonts w:ascii="Times New Roman" w:hAnsi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，不按此范围报价的</w:t>
      </w:r>
      <w:r>
        <w:rPr>
          <w:rFonts w:hint="eastAsia" w:ascii="Times New Roman" w:hAnsi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响应</w:t>
      </w:r>
      <w:r>
        <w:rPr>
          <w:rFonts w:ascii="Times New Roman" w:hAnsi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文件将被拒绝（X1为下浮率， X2为上浮率，均为整数； X1带负号或用“下浮”等类似表述均可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/>
          <w:b/>
          <w:color w:val="000000" w:themeColor="text1"/>
          <w14:textFill>
            <w14:solidFill>
              <w14:schemeClr w14:val="tx1"/>
            </w14:solidFill>
          </w14:textFill>
        </w:rPr>
        <w:t>若未带负号或用“下浮”等类似表述的，默认为下浮率</w:t>
      </w:r>
      <w:r>
        <w:rPr>
          <w:rFonts w:ascii="Times New Roman" w:hAnsi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</w:p>
    <w:p w14:paraId="755B3251">
      <w:pPr>
        <w:spacing w:line="440" w:lineRule="exact"/>
        <w:ind w:left="283" w:leftChars="1" w:hanging="281" w:hangingChars="134"/>
        <w:jc w:val="left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除可填报项目外，任何实质性修改将被视为非实质性响应报价，从而导致该响应文件被拒绝。</w:t>
      </w:r>
    </w:p>
    <w:p w14:paraId="7636F54B">
      <w:pPr>
        <w:pStyle w:val="2"/>
      </w:pPr>
    </w:p>
    <w:p w14:paraId="72A14664">
      <w:pPr>
        <w:pStyle w:val="4"/>
        <w:spacing w:line="360" w:lineRule="auto"/>
        <w:ind w:left="0" w:leftChars="0" w:firstLine="216" w:firstLineChars="103"/>
        <w:rPr>
          <w:rFonts w:ascii="Times New Roman" w:hAnsi="Times New Roman"/>
          <w:bCs/>
          <w:szCs w:val="21"/>
        </w:rPr>
      </w:pPr>
      <w:r>
        <w:rPr>
          <w:rFonts w:ascii="Times New Roman" w:hAnsi="Times New Roman"/>
          <w:bCs/>
          <w:szCs w:val="21"/>
        </w:rPr>
        <w:t>供应商名称：</w:t>
      </w:r>
      <w:r>
        <w:rPr>
          <w:rFonts w:ascii="Times New Roman" w:hAnsi="Times New Roman"/>
          <w:bCs/>
          <w:szCs w:val="21"/>
          <w:u w:val="single"/>
        </w:rPr>
        <w:t xml:space="preserve">               </w:t>
      </w:r>
      <w:r>
        <w:rPr>
          <w:rFonts w:ascii="Times New Roman" w:hAnsi="Times New Roman"/>
          <w:bCs/>
          <w:szCs w:val="21"/>
        </w:rPr>
        <w:t>（加盖公章）</w:t>
      </w:r>
    </w:p>
    <w:p w14:paraId="3016601E">
      <w:pPr>
        <w:pStyle w:val="4"/>
        <w:ind w:left="0" w:leftChars="0" w:firstLine="216" w:firstLineChars="103"/>
        <w:rPr>
          <w:rFonts w:ascii="Times New Roman" w:hAnsi="Times New Roman"/>
          <w:bCs/>
          <w:szCs w:val="21"/>
        </w:rPr>
      </w:pPr>
      <w:r>
        <w:rPr>
          <w:rFonts w:ascii="Times New Roman" w:hAnsi="Times New Roman"/>
          <w:bCs/>
          <w:szCs w:val="21"/>
        </w:rPr>
        <w:t>法定代表人或代理人：</w:t>
      </w:r>
      <w:r>
        <w:rPr>
          <w:rFonts w:ascii="Times New Roman" w:hAnsi="Times New Roman"/>
          <w:bCs/>
          <w:szCs w:val="21"/>
          <w:u w:val="single"/>
        </w:rPr>
        <w:t xml:space="preserve">               </w:t>
      </w:r>
      <w:r>
        <w:rPr>
          <w:rFonts w:ascii="Times New Roman" w:hAnsi="Times New Roman"/>
          <w:bCs/>
          <w:szCs w:val="21"/>
        </w:rPr>
        <w:t>（签字）</w:t>
      </w:r>
    </w:p>
    <w:p w14:paraId="6572270D">
      <w:pPr>
        <w:pStyle w:val="4"/>
        <w:ind w:left="0" w:leftChars="0" w:firstLine="216" w:firstLineChars="103"/>
        <w:rPr>
          <w:rFonts w:ascii="Times New Roman" w:hAnsi="Times New Roman"/>
          <w:bCs/>
          <w:szCs w:val="21"/>
          <w:u w:val="single"/>
        </w:rPr>
      </w:pPr>
      <w:r>
        <w:rPr>
          <w:rFonts w:ascii="Times New Roman" w:hAnsi="Times New Roman"/>
          <w:szCs w:val="21"/>
        </w:rPr>
        <w:t>日期：</w:t>
      </w:r>
      <w:r>
        <w:rPr>
          <w:rFonts w:ascii="Times New Roman" w:hAnsi="Times New Roman"/>
          <w:szCs w:val="21"/>
          <w:u w:val="single"/>
        </w:rPr>
        <w:t xml:space="preserve">      </w:t>
      </w:r>
      <w:r>
        <w:rPr>
          <w:rFonts w:ascii="Times New Roman" w:hAnsi="Times New Roman"/>
          <w:szCs w:val="21"/>
        </w:rPr>
        <w:t>年</w:t>
      </w:r>
      <w:r>
        <w:rPr>
          <w:rFonts w:ascii="Times New Roman" w:hAnsi="Times New Roman"/>
          <w:szCs w:val="21"/>
          <w:u w:val="single"/>
        </w:rPr>
        <w:t xml:space="preserve">   </w:t>
      </w:r>
      <w:r>
        <w:rPr>
          <w:rFonts w:ascii="Times New Roman" w:hAnsi="Times New Roman"/>
          <w:szCs w:val="21"/>
        </w:rPr>
        <w:t>月</w:t>
      </w:r>
      <w:r>
        <w:rPr>
          <w:rFonts w:ascii="Times New Roman" w:hAnsi="Times New Roman"/>
          <w:szCs w:val="21"/>
          <w:u w:val="single"/>
        </w:rPr>
        <w:t xml:space="preserve">   </w:t>
      </w:r>
      <w:r>
        <w:rPr>
          <w:rFonts w:ascii="Times New Roman" w:hAnsi="Times New Roman"/>
          <w:szCs w:val="21"/>
        </w:rPr>
        <w:t>日</w:t>
      </w:r>
    </w:p>
    <w:p w14:paraId="30DC16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6C5291"/>
    <w:multiLevelType w:val="multilevel"/>
    <w:tmpl w:val="086C5291"/>
    <w:lvl w:ilvl="0" w:tentative="0">
      <w:start w:val="1"/>
      <w:numFmt w:val="decimal"/>
      <w:pStyle w:val="3"/>
      <w:lvlText w:val="%1.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992" w:hanging="567"/>
      </w:pPr>
      <w:rPr>
        <w:color w:val="auto"/>
      </w:r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7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662F5"/>
    <w:rsid w:val="601D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0"/>
        <w:numId w:val="1"/>
      </w:numPr>
      <w:spacing w:before="260" w:after="260" w:line="360" w:lineRule="auto"/>
      <w:jc w:val="left"/>
      <w:outlineLvl w:val="1"/>
    </w:pPr>
    <w:rPr>
      <w:rFonts w:ascii="Times New Roman" w:hAnsi="Times New Roman"/>
      <w:b/>
      <w:bCs/>
      <w:color w:val="000000" w:themeColor="text1"/>
      <w:szCs w:val="21"/>
      <w14:textFill>
        <w14:solidFill>
          <w14:schemeClr w14:val="tx1"/>
        </w14:solidFill>
      </w14:textFill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4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customStyle="1" w:styleId="7">
    <w:name w:val="标题 5（有编号）（绿盟科技）"/>
    <w:basedOn w:val="1"/>
    <w:next w:val="8"/>
    <w:autoRedefine/>
    <w:qFormat/>
    <w:uiPriority w:val="0"/>
    <w:pPr>
      <w:keepNext/>
      <w:keepLines/>
      <w:numPr>
        <w:ilvl w:val="4"/>
        <w:numId w:val="2"/>
      </w:numPr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8">
    <w:name w:val="正文（绿盟科技）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350</Words>
  <Characters>373</Characters>
  <Lines>0</Lines>
  <Paragraphs>0</Paragraphs>
  <TotalTime>1</TotalTime>
  <ScaleCrop>false</ScaleCrop>
  <LinksUpToDate>false</LinksUpToDate>
  <CharactersWithSpaces>466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2026-06-17T07:20:00Z</dcterms:created>
  <dc:creator>94327</dc:creator>
  <cp:lastModifiedBy>流星划过</cp:lastModifiedBy>
  <dcterms:modified xsi:type="dcterms:W3CDTF">2026-06-17T07:32:43Z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eyJoZGlkIjoiMGVjNDZlYWYxNWE4N2FhN2ViM2U5ZTQyZTRkY2M3ZTUiLCJ1c2VySWQiOiIyNzY4NzYyNDgifQ==</vt:lpwstr>
  </property>
  <property fmtid="{D5CDD505-2E9C-101B-9397-08002B2CF9AE}" pid="4" name="ICV">
    <vt:lpwstr>B4353A5BB2034AB6B61177C485CCE919_12</vt:lpwstr>
  </property>
</Properties>
</file>