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EE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3715C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新增学士学位授予专业评审指标体系</w:t>
      </w:r>
    </w:p>
    <w:p w14:paraId="4E0B1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Times New Roman" w:hAnsi="Times New Roman" w:eastAsia="方正仿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专家评分表</w:t>
      </w:r>
    </w:p>
    <w:tbl>
      <w:tblPr>
        <w:tblStyle w:val="6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620"/>
        <w:gridCol w:w="5220"/>
        <w:gridCol w:w="1269"/>
      </w:tblGrid>
      <w:tr w14:paraId="38039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1440" w:type="dxa"/>
            <w:vAlign w:val="center"/>
          </w:tcPr>
          <w:p w14:paraId="6D1BA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一级指标</w:t>
            </w:r>
          </w:p>
        </w:tc>
        <w:tc>
          <w:tcPr>
            <w:tcW w:w="1620" w:type="dxa"/>
            <w:vAlign w:val="center"/>
          </w:tcPr>
          <w:p w14:paraId="556D123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二级指标</w:t>
            </w:r>
          </w:p>
        </w:tc>
        <w:tc>
          <w:tcPr>
            <w:tcW w:w="5220" w:type="dxa"/>
            <w:vAlign w:val="center"/>
          </w:tcPr>
          <w:p w14:paraId="638D095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观测点</w:t>
            </w:r>
          </w:p>
        </w:tc>
        <w:tc>
          <w:tcPr>
            <w:tcW w:w="1269" w:type="dxa"/>
            <w:vAlign w:val="center"/>
          </w:tcPr>
          <w:p w14:paraId="600F57C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专家打分</w:t>
            </w:r>
          </w:p>
        </w:tc>
      </w:tr>
      <w:tr w14:paraId="5BACF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restart"/>
            <w:vAlign w:val="center"/>
          </w:tcPr>
          <w:p w14:paraId="5598345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1.专业定位</w:t>
            </w:r>
          </w:p>
          <w:p w14:paraId="79881B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（10分）</w:t>
            </w:r>
          </w:p>
        </w:tc>
        <w:tc>
          <w:tcPr>
            <w:tcW w:w="1620" w:type="dxa"/>
            <w:vAlign w:val="center"/>
          </w:tcPr>
          <w:p w14:paraId="1545A0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1.1立德树人</w:t>
            </w:r>
          </w:p>
          <w:p w14:paraId="00C75CB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（5分）</w:t>
            </w:r>
          </w:p>
        </w:tc>
        <w:tc>
          <w:tcPr>
            <w:tcW w:w="5220" w:type="dxa"/>
            <w:vAlign w:val="center"/>
          </w:tcPr>
          <w:p w14:paraId="7D0DB2CA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坚持社会主义办学方向，坚持立德树人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。</w:t>
            </w:r>
          </w:p>
        </w:tc>
        <w:tc>
          <w:tcPr>
            <w:tcW w:w="1269" w:type="dxa"/>
            <w:vAlign w:val="center"/>
          </w:tcPr>
          <w:p w14:paraId="25FCC5B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4DA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740CF1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47D67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1.2专业建设</w:t>
            </w:r>
          </w:p>
          <w:p w14:paraId="70AC16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（5分）</w:t>
            </w:r>
          </w:p>
        </w:tc>
        <w:tc>
          <w:tcPr>
            <w:tcW w:w="5220" w:type="dxa"/>
            <w:vAlign w:val="center"/>
          </w:tcPr>
          <w:p w14:paraId="2A6C8866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人才培养类型和目标明确，专业建设规划科学合理、措施得力，符合自身办学条件、学校特色，适应社会需求。职业本科招生计划完成率不低于90%，新生报到率不低于85%。</w:t>
            </w:r>
          </w:p>
        </w:tc>
        <w:tc>
          <w:tcPr>
            <w:tcW w:w="1269" w:type="dxa"/>
            <w:vAlign w:val="center"/>
          </w:tcPr>
          <w:p w14:paraId="7191B0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D58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restart"/>
            <w:vAlign w:val="center"/>
          </w:tcPr>
          <w:p w14:paraId="2F3DD2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2.师资队伍</w:t>
            </w:r>
          </w:p>
          <w:p w14:paraId="4A7C9B2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（25分）</w:t>
            </w:r>
          </w:p>
        </w:tc>
        <w:tc>
          <w:tcPr>
            <w:tcW w:w="1620" w:type="dxa"/>
            <w:vAlign w:val="center"/>
          </w:tcPr>
          <w:p w14:paraId="1FDED87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2.1师德师风</w:t>
            </w:r>
          </w:p>
          <w:p w14:paraId="3267E94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（5分）</w:t>
            </w:r>
          </w:p>
        </w:tc>
        <w:tc>
          <w:tcPr>
            <w:tcW w:w="5220" w:type="dxa"/>
            <w:vAlign w:val="center"/>
          </w:tcPr>
          <w:p w14:paraId="178F5827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近三年无重大影响的师德师风问题。</w:t>
            </w:r>
          </w:p>
        </w:tc>
        <w:tc>
          <w:tcPr>
            <w:tcW w:w="1269" w:type="dxa"/>
            <w:vAlign w:val="center"/>
          </w:tcPr>
          <w:p w14:paraId="5BBC93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2DF4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757C202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097E88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2.2专任教师</w:t>
            </w:r>
          </w:p>
          <w:p w14:paraId="219D282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（8分）</w:t>
            </w:r>
          </w:p>
        </w:tc>
        <w:tc>
          <w:tcPr>
            <w:tcW w:w="5220" w:type="dxa"/>
            <w:vAlign w:val="center"/>
          </w:tcPr>
          <w:p w14:paraId="32291500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专任教师数量充足、素质优良，能够满足人才培养需要。专任教师队伍的专业、学历、学缘、职称和年龄结构合理，其中具有研究生学历的人员比例不低于60%。职业本科专业专任教师与该专业在校生人数之比不低于1:20，高级职称不低于30%，研究生学位不低于50%，博士研究生学位不低于15%；“双师型”教师不低于50%。来自行业企业一线的兼职教师承担的专业课教学任务不低于20%。</w:t>
            </w:r>
          </w:p>
        </w:tc>
        <w:tc>
          <w:tcPr>
            <w:tcW w:w="1269" w:type="dxa"/>
            <w:vAlign w:val="center"/>
          </w:tcPr>
          <w:p w14:paraId="04167DC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B097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60D5D9F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0E6531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2.3实验教师</w:t>
            </w:r>
          </w:p>
          <w:p w14:paraId="46552D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（5分）</w:t>
            </w:r>
          </w:p>
        </w:tc>
        <w:tc>
          <w:tcPr>
            <w:tcW w:w="5220" w:type="dxa"/>
            <w:vAlign w:val="center"/>
          </w:tcPr>
          <w:p w14:paraId="56030CB3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有结构合理，能满足实验实践教学所需的专职实验和教学辅助人员队伍。</w:t>
            </w:r>
          </w:p>
        </w:tc>
        <w:tc>
          <w:tcPr>
            <w:tcW w:w="1269" w:type="dxa"/>
            <w:vAlign w:val="center"/>
          </w:tcPr>
          <w:p w14:paraId="2461CA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547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74A8BA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E9B3F0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2.4教学科研</w:t>
            </w:r>
          </w:p>
          <w:p w14:paraId="0CFE42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（7分）</w:t>
            </w:r>
          </w:p>
        </w:tc>
        <w:tc>
          <w:tcPr>
            <w:tcW w:w="5220" w:type="dxa"/>
            <w:vAlign w:val="center"/>
          </w:tcPr>
          <w:p w14:paraId="6932F77E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专业带头人有较高的学术造诣及行业影响</w:t>
            </w:r>
            <w:r>
              <w:rPr>
                <w:rFonts w:hint="eastAsia" w:ascii="Times New Roman" w:hAnsi="Times New Roman"/>
                <w:sz w:val="24"/>
                <w:szCs w:val="24"/>
              </w:rPr>
              <w:t>力</w:t>
            </w:r>
            <w:r>
              <w:rPr>
                <w:rFonts w:ascii="Times New Roman" w:hAnsi="Times New Roman"/>
                <w:sz w:val="24"/>
                <w:szCs w:val="24"/>
              </w:rPr>
              <w:t>，具有副高及以上技术职</w:t>
            </w:r>
            <w:r>
              <w:rPr>
                <w:rFonts w:hint="eastAsia" w:ascii="Times New Roman" w:hAnsi="Times New Roman"/>
                <w:sz w:val="24"/>
                <w:szCs w:val="24"/>
              </w:rPr>
              <w:t>称</w:t>
            </w:r>
            <w:r>
              <w:rPr>
                <w:rFonts w:ascii="Times New Roman" w:hAnsi="Times New Roman"/>
                <w:sz w:val="24"/>
                <w:szCs w:val="24"/>
              </w:rPr>
              <w:t>，有3项及以上高水平代表性成果，主持在研省部级及以上教学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科研或产教融合项目。</w:t>
            </w:r>
          </w:p>
        </w:tc>
        <w:tc>
          <w:tcPr>
            <w:tcW w:w="1269" w:type="dxa"/>
            <w:vAlign w:val="center"/>
          </w:tcPr>
          <w:p w14:paraId="4A507B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0FE2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restart"/>
            <w:vAlign w:val="center"/>
          </w:tcPr>
          <w:p w14:paraId="5F145F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3.培养方案与课程设置</w:t>
            </w:r>
          </w:p>
          <w:p w14:paraId="293B780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（15分）</w:t>
            </w:r>
          </w:p>
        </w:tc>
        <w:tc>
          <w:tcPr>
            <w:tcW w:w="1620" w:type="dxa"/>
            <w:vAlign w:val="center"/>
          </w:tcPr>
          <w:p w14:paraId="33B8CF2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3.1培养方案</w:t>
            </w:r>
          </w:p>
          <w:p w14:paraId="1168EDD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（8分）</w:t>
            </w:r>
          </w:p>
        </w:tc>
        <w:tc>
          <w:tcPr>
            <w:tcW w:w="5220" w:type="dxa"/>
            <w:vAlign w:val="center"/>
          </w:tcPr>
          <w:p w14:paraId="1D0F365F">
            <w:pPr>
              <w:spacing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人才培养方案制订规范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/>
                <w:sz w:val="24"/>
                <w:szCs w:val="24"/>
              </w:rPr>
              <w:t>人才培养目标及毕业要求契合学校办学定位和学科优势，与专业定位匹配，能体现学生德智体美劳全面发展。</w:t>
            </w:r>
          </w:p>
        </w:tc>
        <w:tc>
          <w:tcPr>
            <w:tcW w:w="1269" w:type="dxa"/>
            <w:vAlign w:val="center"/>
          </w:tcPr>
          <w:p w14:paraId="2642D57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83B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465195C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B04DF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3.2课程设置</w:t>
            </w:r>
          </w:p>
          <w:p w14:paraId="23C57E5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（7分）</w:t>
            </w:r>
          </w:p>
        </w:tc>
        <w:tc>
          <w:tcPr>
            <w:tcW w:w="5220" w:type="dxa"/>
            <w:vAlign w:val="center"/>
          </w:tcPr>
          <w:p w14:paraId="2DA0AC2A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课程设置科学合理，符合国家标准和规范；教学内容彰显培养特色，能支撑本专业培养目标及毕业要求。职业本科专业实践教学比例不低于50%，实验实训项目（任务）开出率达到100%。</w:t>
            </w:r>
          </w:p>
        </w:tc>
        <w:tc>
          <w:tcPr>
            <w:tcW w:w="1269" w:type="dxa"/>
            <w:vAlign w:val="center"/>
          </w:tcPr>
          <w:p w14:paraId="12084F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523E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restart"/>
            <w:vAlign w:val="center"/>
          </w:tcPr>
          <w:p w14:paraId="4A9284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4.教学条件</w:t>
            </w:r>
          </w:p>
          <w:p w14:paraId="1193D0C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（25分）</w:t>
            </w:r>
          </w:p>
        </w:tc>
        <w:tc>
          <w:tcPr>
            <w:tcW w:w="1620" w:type="dxa"/>
            <w:vAlign w:val="center"/>
          </w:tcPr>
          <w:p w14:paraId="7D32DB4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4.1经费投入</w:t>
            </w:r>
          </w:p>
          <w:p w14:paraId="67E2D2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（7分）</w:t>
            </w:r>
          </w:p>
        </w:tc>
        <w:tc>
          <w:tcPr>
            <w:tcW w:w="5220" w:type="dxa"/>
            <w:vAlign w:val="center"/>
          </w:tcPr>
          <w:p w14:paraId="4123389E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具备多渠道筹措资金的条件，专业教学经费充足。</w:t>
            </w:r>
          </w:p>
        </w:tc>
        <w:tc>
          <w:tcPr>
            <w:tcW w:w="1269" w:type="dxa"/>
            <w:vAlign w:val="center"/>
          </w:tcPr>
          <w:p w14:paraId="23E04B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3D3D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44DE88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3D4E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4.2实验室与仪器设备</w:t>
            </w:r>
          </w:p>
          <w:p w14:paraId="1FBF0D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（7分）</w:t>
            </w:r>
          </w:p>
        </w:tc>
        <w:tc>
          <w:tcPr>
            <w:tcW w:w="5220" w:type="dxa"/>
            <w:vAlign w:val="center"/>
          </w:tcPr>
          <w:p w14:paraId="1D16DEBD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教育教学技术能有效应用于教学过程。专业教学实验室及设备功能先进、数量充足，利用率高，</w:t>
            </w:r>
            <w:r>
              <w:rPr>
                <w:rFonts w:hint="eastAsia" w:ascii="Times New Roman" w:hAnsi="Times New Roman"/>
                <w:sz w:val="24"/>
                <w:szCs w:val="24"/>
              </w:rPr>
              <w:t>能</w:t>
            </w:r>
            <w:r>
              <w:rPr>
                <w:rFonts w:ascii="Times New Roman" w:hAnsi="Times New Roman"/>
                <w:sz w:val="24"/>
                <w:szCs w:val="24"/>
              </w:rPr>
              <w:t>满足教学需要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/>
                <w:sz w:val="24"/>
                <w:szCs w:val="24"/>
              </w:rPr>
              <w:t>在专业人才培养中能发挥较好作用。职业本科专业生均教学科研仪器设备值不低于1万元。</w:t>
            </w:r>
          </w:p>
        </w:tc>
        <w:tc>
          <w:tcPr>
            <w:tcW w:w="1269" w:type="dxa"/>
            <w:vAlign w:val="center"/>
          </w:tcPr>
          <w:p w14:paraId="78A20C8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B3CF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7383835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5418F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4.3专业图书资料</w:t>
            </w:r>
          </w:p>
          <w:p w14:paraId="437B61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（6分）</w:t>
            </w:r>
          </w:p>
        </w:tc>
        <w:tc>
          <w:tcPr>
            <w:tcW w:w="5220" w:type="dxa"/>
            <w:vAlign w:val="center"/>
          </w:tcPr>
          <w:p w14:paraId="763DDC1F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图书资料（含电子图书、期刊或数据库）充足、种类较全，</w:t>
            </w:r>
            <w:r>
              <w:rPr>
                <w:rFonts w:hint="eastAsia" w:ascii="Times New Roman" w:hAnsi="Times New Roman"/>
                <w:sz w:val="24"/>
                <w:szCs w:val="24"/>
              </w:rPr>
              <w:t>能</w:t>
            </w:r>
            <w:r>
              <w:rPr>
                <w:rFonts w:ascii="Times New Roman" w:hAnsi="Times New Roman"/>
                <w:sz w:val="24"/>
                <w:szCs w:val="24"/>
              </w:rPr>
              <w:t>满足专业教学需要。</w:t>
            </w:r>
          </w:p>
        </w:tc>
        <w:tc>
          <w:tcPr>
            <w:tcW w:w="1269" w:type="dxa"/>
            <w:vAlign w:val="center"/>
          </w:tcPr>
          <w:p w14:paraId="36A4471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47DE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1169A75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613FB6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4.4实习实践</w:t>
            </w:r>
          </w:p>
          <w:p w14:paraId="74A75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（5分）</w:t>
            </w:r>
          </w:p>
        </w:tc>
        <w:tc>
          <w:tcPr>
            <w:tcW w:w="5220" w:type="dxa"/>
            <w:vAlign w:val="center"/>
          </w:tcPr>
          <w:p w14:paraId="49A83453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校内外实践基地完备、稳定，能满足实习实践教学需要且运行情况良好。实习基地数不少于3个。</w:t>
            </w:r>
          </w:p>
        </w:tc>
        <w:tc>
          <w:tcPr>
            <w:tcW w:w="1269" w:type="dxa"/>
            <w:vAlign w:val="center"/>
          </w:tcPr>
          <w:p w14:paraId="0E6532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BF23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restart"/>
            <w:vAlign w:val="center"/>
          </w:tcPr>
          <w:p w14:paraId="4F65953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5.教学规范</w:t>
            </w:r>
          </w:p>
          <w:p w14:paraId="1398431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（10分）</w:t>
            </w:r>
          </w:p>
        </w:tc>
        <w:tc>
          <w:tcPr>
            <w:tcW w:w="1620" w:type="dxa"/>
            <w:vAlign w:val="center"/>
          </w:tcPr>
          <w:p w14:paraId="70C2357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5.1教学运行</w:t>
            </w:r>
          </w:p>
          <w:p w14:paraId="2BCB4C6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（5分）</w:t>
            </w:r>
          </w:p>
        </w:tc>
        <w:tc>
          <w:tcPr>
            <w:tcW w:w="5220" w:type="dxa"/>
            <w:vAlign w:val="center"/>
          </w:tcPr>
          <w:p w14:paraId="33DC8A08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教学运行规范有序，教学大纲（含考核大纲）、教案、教材及教辅资料、考试考核等管理规范。</w:t>
            </w:r>
          </w:p>
        </w:tc>
        <w:tc>
          <w:tcPr>
            <w:tcW w:w="1269" w:type="dxa"/>
            <w:vAlign w:val="center"/>
          </w:tcPr>
          <w:p w14:paraId="0B9ACAB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CCE8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6E4C97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64222A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5.2教学行为</w:t>
            </w:r>
          </w:p>
          <w:p w14:paraId="4B635FF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（5分）</w:t>
            </w:r>
          </w:p>
        </w:tc>
        <w:tc>
          <w:tcPr>
            <w:tcW w:w="5220" w:type="dxa"/>
            <w:vAlign w:val="center"/>
          </w:tcPr>
          <w:p w14:paraId="0855064B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教学方法运用得当，注重因材施教。教师教学行为规范，精神风貌良好。</w:t>
            </w:r>
          </w:p>
        </w:tc>
        <w:tc>
          <w:tcPr>
            <w:tcW w:w="1269" w:type="dxa"/>
            <w:vAlign w:val="center"/>
          </w:tcPr>
          <w:p w14:paraId="3D2F50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D6FD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restart"/>
            <w:vAlign w:val="center"/>
          </w:tcPr>
          <w:p w14:paraId="69E47C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6.质量保障</w:t>
            </w:r>
          </w:p>
          <w:p w14:paraId="2D0D80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（15分）</w:t>
            </w:r>
          </w:p>
        </w:tc>
        <w:tc>
          <w:tcPr>
            <w:tcW w:w="1620" w:type="dxa"/>
            <w:vAlign w:val="center"/>
          </w:tcPr>
          <w:p w14:paraId="2C79610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6.1规章制度</w:t>
            </w:r>
          </w:p>
          <w:p w14:paraId="2EF680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（8分）</w:t>
            </w:r>
          </w:p>
        </w:tc>
        <w:tc>
          <w:tcPr>
            <w:tcW w:w="5220" w:type="dxa"/>
            <w:vAlign w:val="center"/>
          </w:tcPr>
          <w:p w14:paraId="4E4D3B91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教学管理规章制度健全，执行严格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；</w:t>
            </w:r>
            <w:r>
              <w:rPr>
                <w:rFonts w:ascii="Times New Roman" w:hAnsi="Times New Roman"/>
                <w:sz w:val="24"/>
                <w:szCs w:val="24"/>
              </w:rPr>
              <w:t>管理人员配备到位。</w:t>
            </w:r>
          </w:p>
        </w:tc>
        <w:tc>
          <w:tcPr>
            <w:tcW w:w="1269" w:type="dxa"/>
            <w:vAlign w:val="center"/>
          </w:tcPr>
          <w:p w14:paraId="10385E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D1A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0" w:type="dxa"/>
            <w:vMerge w:val="continue"/>
            <w:vAlign w:val="center"/>
          </w:tcPr>
          <w:p w14:paraId="630DD49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57C4CB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6.2质量监控</w:t>
            </w:r>
          </w:p>
          <w:p w14:paraId="715E53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（7分）</w:t>
            </w:r>
          </w:p>
        </w:tc>
        <w:tc>
          <w:tcPr>
            <w:tcW w:w="5220" w:type="dxa"/>
            <w:vAlign w:val="center"/>
          </w:tcPr>
          <w:p w14:paraId="33716125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质量保障指标体系科学合理。质量监控、评估反馈和持续改进机制健全。</w:t>
            </w:r>
          </w:p>
        </w:tc>
        <w:tc>
          <w:tcPr>
            <w:tcW w:w="1269" w:type="dxa"/>
            <w:vAlign w:val="center"/>
          </w:tcPr>
          <w:p w14:paraId="30D9CDD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DA31C5">
      <w:pPr>
        <w:spacing w:line="640" w:lineRule="exact"/>
        <w:rPr>
          <w:rFonts w:hint="eastAsia" w:ascii="方正仿宋_GBK" w:hAnsi="方正仿宋_GBK" w:eastAsia="方正仿宋_GBK" w:cs="方正仿宋_GBK"/>
          <w:b/>
          <w:szCs w:val="32"/>
        </w:rPr>
      </w:pPr>
      <w:r>
        <w:rPr>
          <w:rFonts w:hint="eastAsia" w:ascii="方正仿宋_GBK" w:hAnsi="方正仿宋_GBK" w:eastAsia="方正仿宋_GBK" w:cs="方正仿宋_GBK"/>
          <w:b/>
          <w:szCs w:val="32"/>
        </w:rPr>
        <w:t>注：</w:t>
      </w:r>
      <w:r>
        <w:rPr>
          <w:rFonts w:hint="eastAsia" w:ascii="方正仿宋_GBK" w:hAnsi="方正仿宋_GBK" w:eastAsia="方正仿宋_GBK" w:cs="方正仿宋_GBK"/>
          <w:b/>
          <w:szCs w:val="32"/>
          <w:lang w:eastAsia="zh-CN"/>
        </w:rPr>
        <w:t>评审指标体系</w:t>
      </w:r>
      <w:r>
        <w:rPr>
          <w:rFonts w:hint="eastAsia" w:ascii="方正仿宋_GBK" w:hAnsi="方正仿宋_GBK" w:eastAsia="方正仿宋_GBK" w:cs="方正仿宋_GBK"/>
          <w:b/>
          <w:szCs w:val="32"/>
        </w:rPr>
        <w:t>根据国家最新规定相应调整。</w:t>
      </w:r>
    </w:p>
    <w:p w14:paraId="2DDABB22">
      <w:pPr>
        <w:spacing w:line="640" w:lineRule="exact"/>
        <w:rPr>
          <w:rFonts w:hint="default" w:ascii="方正仿宋_GBK" w:hAnsi="方正仿宋_GBK" w:eastAsia="方正仿宋_GBK" w:cs="方正仿宋_GBK"/>
          <w:b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szCs w:val="32"/>
          <w:lang w:val="en-US" w:eastAsia="zh-CN"/>
        </w:rPr>
        <w:t xml:space="preserve">                           专家签名：</w:t>
      </w:r>
    </w:p>
    <w:sectPr>
      <w:footerReference r:id="rId5" w:type="default"/>
      <w:footerReference r:id="rId6" w:type="even"/>
      <w:pgSz w:w="11906" w:h="16838"/>
      <w:pgMar w:top="1417" w:right="1417" w:bottom="1531" w:left="1417" w:header="1701" w:footer="1588" w:gutter="0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163E4">
    <w:pPr>
      <w:pStyle w:val="4"/>
      <w:framePr w:wrap="around" w:vAnchor="text" w:hAnchor="margin" w:xAlign="outside" w:y="1"/>
      <w:ind w:right="13" w:rightChars="4"/>
      <w:rPr>
        <w:rStyle w:val="9"/>
        <w:rFonts w:ascii="宋体" w:hAnsi="宋体"/>
        <w:sz w:val="28"/>
        <w:szCs w:val="28"/>
      </w:rPr>
    </w:pPr>
    <w:r>
      <w:rPr>
        <w:rStyle w:val="9"/>
        <w:rFonts w:hint="eastAsia" w:ascii="宋体" w:hAnsi="宋体"/>
        <w:sz w:val="28"/>
        <w:szCs w:val="28"/>
      </w:rPr>
      <w:t xml:space="preserve">— </w:t>
    </w: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</w:t>
    </w:r>
    <w:r>
      <w:rPr>
        <w:rStyle w:val="9"/>
        <w:rFonts w:ascii="宋体" w:hAnsi="宋体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 xml:space="preserve"> —</w:t>
    </w:r>
  </w:p>
  <w:p w14:paraId="6EE092EC">
    <w:pPr>
      <w:pStyle w:val="4"/>
      <w:ind w:right="56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04213">
    <w:pPr>
      <w:pStyle w:val="4"/>
      <w:framePr w:wrap="around" w:vAnchor="text" w:hAnchor="margin" w:xAlign="outside" w:y="1"/>
      <w:rPr>
        <w:rStyle w:val="9"/>
        <w:rFonts w:ascii="宋体" w:hAnsi="宋体"/>
        <w:sz w:val="28"/>
        <w:szCs w:val="28"/>
      </w:rPr>
    </w:pPr>
    <w:r>
      <w:rPr>
        <w:rStyle w:val="9"/>
        <w:rFonts w:hint="eastAsia" w:ascii="宋体" w:hAnsi="宋体"/>
        <w:sz w:val="28"/>
        <w:szCs w:val="28"/>
      </w:rPr>
      <w:t xml:space="preserve">— </w:t>
    </w:r>
    <w:r>
      <w:rPr>
        <w:rStyle w:val="9"/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Style w:val="9"/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2</w:t>
    </w:r>
    <w:r>
      <w:rPr>
        <w:rStyle w:val="9"/>
        <w:rFonts w:ascii="宋体" w:hAnsi="宋体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 xml:space="preserve"> —</w:t>
    </w:r>
  </w:p>
  <w:p w14:paraId="3ECC9885">
    <w:pPr>
      <w:pStyle w:val="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OTJlMGZmMTMwYjUwMDZmZjNmOTA5MDBkZWEwYzUifQ=="/>
  </w:docVars>
  <w:rsids>
    <w:rsidRoot w:val="00110B1B"/>
    <w:rsid w:val="0000743E"/>
    <w:rsid w:val="00062387"/>
    <w:rsid w:val="00094427"/>
    <w:rsid w:val="000974C5"/>
    <w:rsid w:val="000E7BB0"/>
    <w:rsid w:val="000F452F"/>
    <w:rsid w:val="00110B1B"/>
    <w:rsid w:val="00112420"/>
    <w:rsid w:val="00113DE8"/>
    <w:rsid w:val="001B42BA"/>
    <w:rsid w:val="00203B16"/>
    <w:rsid w:val="00204DAB"/>
    <w:rsid w:val="00275708"/>
    <w:rsid w:val="002E5004"/>
    <w:rsid w:val="00307EB8"/>
    <w:rsid w:val="003A34ED"/>
    <w:rsid w:val="003B417E"/>
    <w:rsid w:val="003D5C77"/>
    <w:rsid w:val="00415910"/>
    <w:rsid w:val="00426B51"/>
    <w:rsid w:val="0044698A"/>
    <w:rsid w:val="00455BDF"/>
    <w:rsid w:val="00463734"/>
    <w:rsid w:val="004812D1"/>
    <w:rsid w:val="0049411B"/>
    <w:rsid w:val="00495C50"/>
    <w:rsid w:val="004B3681"/>
    <w:rsid w:val="004D51EA"/>
    <w:rsid w:val="004F0B03"/>
    <w:rsid w:val="00511CC2"/>
    <w:rsid w:val="00525CE2"/>
    <w:rsid w:val="005320A0"/>
    <w:rsid w:val="005522DF"/>
    <w:rsid w:val="0058769E"/>
    <w:rsid w:val="005B0C57"/>
    <w:rsid w:val="005B250B"/>
    <w:rsid w:val="005D1FC0"/>
    <w:rsid w:val="00645A63"/>
    <w:rsid w:val="00670639"/>
    <w:rsid w:val="0067777B"/>
    <w:rsid w:val="00683912"/>
    <w:rsid w:val="006B3C61"/>
    <w:rsid w:val="00771AFE"/>
    <w:rsid w:val="00775B8C"/>
    <w:rsid w:val="00794B2C"/>
    <w:rsid w:val="008272CC"/>
    <w:rsid w:val="00850378"/>
    <w:rsid w:val="0087158D"/>
    <w:rsid w:val="008A4BBE"/>
    <w:rsid w:val="008B19AE"/>
    <w:rsid w:val="00931C5E"/>
    <w:rsid w:val="00941EE0"/>
    <w:rsid w:val="00952CCA"/>
    <w:rsid w:val="0097425B"/>
    <w:rsid w:val="009967C5"/>
    <w:rsid w:val="009E02A3"/>
    <w:rsid w:val="00A11A46"/>
    <w:rsid w:val="00A742BB"/>
    <w:rsid w:val="00A95FA2"/>
    <w:rsid w:val="00B26EDA"/>
    <w:rsid w:val="00B46409"/>
    <w:rsid w:val="00B61DF1"/>
    <w:rsid w:val="00B66409"/>
    <w:rsid w:val="00B95870"/>
    <w:rsid w:val="00BB032A"/>
    <w:rsid w:val="00BC7C6E"/>
    <w:rsid w:val="00C90E84"/>
    <w:rsid w:val="00CB63EC"/>
    <w:rsid w:val="00CC682A"/>
    <w:rsid w:val="00CD0A9E"/>
    <w:rsid w:val="00D02336"/>
    <w:rsid w:val="00D702D3"/>
    <w:rsid w:val="00DA4F6D"/>
    <w:rsid w:val="00DD27D1"/>
    <w:rsid w:val="00DF674A"/>
    <w:rsid w:val="00E15C94"/>
    <w:rsid w:val="00E3588B"/>
    <w:rsid w:val="00E476F1"/>
    <w:rsid w:val="00E51D2A"/>
    <w:rsid w:val="00E65288"/>
    <w:rsid w:val="00E853DE"/>
    <w:rsid w:val="00E93428"/>
    <w:rsid w:val="00EB123F"/>
    <w:rsid w:val="00EC0B13"/>
    <w:rsid w:val="00ED56B8"/>
    <w:rsid w:val="00F42676"/>
    <w:rsid w:val="00F530C8"/>
    <w:rsid w:val="00FB2849"/>
    <w:rsid w:val="00FF4085"/>
    <w:rsid w:val="0A7F4D7F"/>
    <w:rsid w:val="17BE1D71"/>
    <w:rsid w:val="1F7A4E5A"/>
    <w:rsid w:val="1FDB5F4D"/>
    <w:rsid w:val="1FFE8534"/>
    <w:rsid w:val="2CBFAE8B"/>
    <w:rsid w:val="2EFF2E98"/>
    <w:rsid w:val="2F6C62C6"/>
    <w:rsid w:val="31772159"/>
    <w:rsid w:val="36C57527"/>
    <w:rsid w:val="372FE8DE"/>
    <w:rsid w:val="3B2F2C5F"/>
    <w:rsid w:val="3F3BED8F"/>
    <w:rsid w:val="3F7F2099"/>
    <w:rsid w:val="3FF34C33"/>
    <w:rsid w:val="445F3B07"/>
    <w:rsid w:val="446818A3"/>
    <w:rsid w:val="4DF78203"/>
    <w:rsid w:val="53620E89"/>
    <w:rsid w:val="57DFE565"/>
    <w:rsid w:val="5BDF06F4"/>
    <w:rsid w:val="5BF7545C"/>
    <w:rsid w:val="5CDD87AC"/>
    <w:rsid w:val="5FFFD15B"/>
    <w:rsid w:val="60480182"/>
    <w:rsid w:val="693FD37A"/>
    <w:rsid w:val="6C0730D8"/>
    <w:rsid w:val="75AF0416"/>
    <w:rsid w:val="772C17BA"/>
    <w:rsid w:val="77CE1784"/>
    <w:rsid w:val="79FFABE4"/>
    <w:rsid w:val="7ABF555F"/>
    <w:rsid w:val="7B3E3BA9"/>
    <w:rsid w:val="7B5B4261"/>
    <w:rsid w:val="7D6E8B59"/>
    <w:rsid w:val="7D6FEB53"/>
    <w:rsid w:val="7D7DF61D"/>
    <w:rsid w:val="7DF741DB"/>
    <w:rsid w:val="7DFEAA3D"/>
    <w:rsid w:val="7E5F05F2"/>
    <w:rsid w:val="7EE1EC89"/>
    <w:rsid w:val="7EF68962"/>
    <w:rsid w:val="7EFE7FDC"/>
    <w:rsid w:val="7EFF27A8"/>
    <w:rsid w:val="7F3C2978"/>
    <w:rsid w:val="7F67DA94"/>
    <w:rsid w:val="7FBDB678"/>
    <w:rsid w:val="7FFD857A"/>
    <w:rsid w:val="9FAE3069"/>
    <w:rsid w:val="AFF9CD7D"/>
    <w:rsid w:val="B7E2B342"/>
    <w:rsid w:val="B9EFC2C0"/>
    <w:rsid w:val="BFDF49BD"/>
    <w:rsid w:val="BFFDE862"/>
    <w:rsid w:val="BFFF68F6"/>
    <w:rsid w:val="BFFF8E6C"/>
    <w:rsid w:val="C53F2230"/>
    <w:rsid w:val="C7B45CB8"/>
    <w:rsid w:val="C9DC68BD"/>
    <w:rsid w:val="CF2F7441"/>
    <w:rsid w:val="CFFE1C85"/>
    <w:rsid w:val="D7FF4E77"/>
    <w:rsid w:val="DCF292D6"/>
    <w:rsid w:val="DF6DC032"/>
    <w:rsid w:val="EBF0EFF6"/>
    <w:rsid w:val="EBF9A90F"/>
    <w:rsid w:val="EDE75B44"/>
    <w:rsid w:val="EF3F1506"/>
    <w:rsid w:val="EF724309"/>
    <w:rsid w:val="EFFD3535"/>
    <w:rsid w:val="EFFF122B"/>
    <w:rsid w:val="F3EB2C62"/>
    <w:rsid w:val="F4E7E506"/>
    <w:rsid w:val="F4F76270"/>
    <w:rsid w:val="F7B70BAA"/>
    <w:rsid w:val="FE8B6868"/>
    <w:rsid w:val="FE8F08BD"/>
    <w:rsid w:val="FEFE3396"/>
    <w:rsid w:val="FEFF2BBB"/>
    <w:rsid w:val="FFCBD49A"/>
    <w:rsid w:val="FFF62AA7"/>
    <w:rsid w:val="FF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unhideWhenUsed/>
    <w:qFormat/>
    <w:uiPriority w:val="99"/>
  </w:style>
  <w:style w:type="character" w:customStyle="1" w:styleId="10">
    <w:name w:val="Date Char"/>
    <w:basedOn w:val="8"/>
    <w:link w:val="2"/>
    <w:semiHidden/>
    <w:qFormat/>
    <w:uiPriority w:val="99"/>
    <w:rPr>
      <w:kern w:val="2"/>
      <w:sz w:val="32"/>
      <w:szCs w:val="22"/>
    </w:rPr>
  </w:style>
  <w:style w:type="character" w:customStyle="1" w:styleId="11">
    <w:name w:val="Balloon Text Char"/>
    <w:basedOn w:val="8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Footer Char"/>
    <w:link w:val="4"/>
    <w:qFormat/>
    <w:uiPriority w:val="99"/>
    <w:rPr>
      <w:kern w:val="2"/>
      <w:sz w:val="18"/>
      <w:szCs w:val="18"/>
    </w:rPr>
  </w:style>
  <w:style w:type="character" w:customStyle="1" w:styleId="13">
    <w:name w:val="Header Char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1113</Words>
  <Characters>1183</Characters>
  <Lines>9</Lines>
  <Paragraphs>2</Paragraphs>
  <TotalTime>18</TotalTime>
  <ScaleCrop>false</ScaleCrop>
  <LinksUpToDate>false</LinksUpToDate>
  <CharactersWithSpaces>1210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2022-08-29T15:29:00Z</dcterms:created>
  <dc:creator>shuibg</dc:creator>
  <cp:lastModifiedBy>毛倩</cp:lastModifiedBy>
  <dcterms:modified xsi:type="dcterms:W3CDTF">2026-09-04T02:20:36Z</dcterms:modified>
  <dc:title>四川省人民政府学位委员会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B5C1B5972BF44D819F4F61325B76184E</vt:lpwstr>
  </property>
  <property fmtid="{D5CDD505-2E9C-101B-9397-08002B2CF9AE}" pid="4" name="KSOTemplateDocerSaveRecord">
    <vt:lpwstr>eyJoZGlkIjoiMzk2YmRkZDViYTk0NGI2M2VhNTY0NDY2ZGYxNWUwNzAiLCJ1c2VySWQiOiI0MjQ2MjI2MDUifQ==</vt:lpwstr>
  </property>
</Properties>
</file>