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891E4">
      <w:pPr>
        <w:pStyle w:val="2"/>
        <w:spacing w:before="0" w:line="560" w:lineRule="exact"/>
        <w:ind w:left="-2" w:leftChars="-1" w:firstLine="1"/>
        <w:rPr>
          <w:rFonts w:hint="eastAsia" w:ascii="方正小标宋简体" w:eastAsia="方正小标宋简体"/>
          <w:b w:val="0"/>
          <w:bCs w:val="0"/>
          <w:sz w:val="44"/>
          <w:szCs w:val="44"/>
          <w:lang w:val="en-US"/>
        </w:rPr>
      </w:pPr>
      <w:bookmarkStart w:id="0" w:name="OLE_LINK1"/>
      <w:bookmarkStart w:id="1" w:name="OLE_LINK11"/>
      <w:bookmarkStart w:id="10" w:name="_GoBack"/>
      <w:bookmarkEnd w:id="10"/>
      <w:r>
        <w:rPr>
          <w:rFonts w:hint="eastAsia" w:ascii="方正小标宋简体" w:eastAsia="方正小标宋简体"/>
          <w:b w:val="0"/>
          <w:bCs w:val="0"/>
          <w:sz w:val="44"/>
          <w:szCs w:val="44"/>
          <w:lang w:val="en-US"/>
        </w:rPr>
        <w:t>西南交通大学</w:t>
      </w:r>
    </w:p>
    <w:p w14:paraId="7A458E58">
      <w:pPr>
        <w:pStyle w:val="2"/>
        <w:spacing w:before="0" w:line="560" w:lineRule="exact"/>
        <w:ind w:left="-2" w:leftChars="-1" w:firstLine="1"/>
        <w:rPr>
          <w:rFonts w:hint="eastAsia" w:ascii="方正小标宋简体" w:eastAsia="方正小标宋简体"/>
          <w:b w:val="0"/>
          <w:bCs w:val="0"/>
          <w:sz w:val="44"/>
          <w:szCs w:val="44"/>
        </w:rPr>
      </w:pPr>
      <w:r>
        <w:rPr>
          <w:rFonts w:hint="eastAsia" w:ascii="方正小标宋简体" w:eastAsia="方正小标宋简体"/>
          <w:b w:val="0"/>
          <w:bCs w:val="0"/>
          <w:sz w:val="44"/>
          <w:szCs w:val="44"/>
          <w:lang w:val="en-US"/>
        </w:rPr>
        <w:t>第二学士学位</w:t>
      </w:r>
      <w:bookmarkEnd w:id="0"/>
      <w:r>
        <w:rPr>
          <w:rFonts w:hint="eastAsia" w:ascii="方正小标宋简体" w:eastAsia="方正小标宋简体"/>
          <w:b w:val="0"/>
          <w:bCs w:val="0"/>
          <w:sz w:val="44"/>
          <w:szCs w:val="44"/>
        </w:rPr>
        <w:t>综合素质评价办法</w:t>
      </w:r>
    </w:p>
    <w:bookmarkEnd w:id="1"/>
    <w:p w14:paraId="2196E9D7">
      <w:pPr>
        <w:pStyle w:val="5"/>
        <w:spacing w:before="0" w:line="560" w:lineRule="exact"/>
        <w:ind w:left="66"/>
        <w:jc w:val="center"/>
        <w:rPr>
          <w:rFonts w:hint="eastAsia" w:ascii="方正小标宋简体" w:eastAsia="方正小标宋简体"/>
          <w:b w:val="0"/>
          <w:bCs w:val="0"/>
          <w:sz w:val="44"/>
          <w:szCs w:val="44"/>
        </w:rPr>
      </w:pPr>
      <w:r>
        <w:rPr>
          <w:rFonts w:hint="eastAsia" w:ascii="方正小标宋简体" w:eastAsia="方正小标宋简体"/>
          <w:b w:val="0"/>
          <w:bCs w:val="0"/>
          <w:sz w:val="44"/>
          <w:szCs w:val="44"/>
        </w:rPr>
        <w:t>（试行）</w:t>
      </w:r>
    </w:p>
    <w:p w14:paraId="35959899">
      <w:pPr>
        <w:tabs>
          <w:tab w:val="left" w:pos="1270"/>
        </w:tabs>
        <w:spacing w:line="560" w:lineRule="exact"/>
        <w:ind w:left="63"/>
        <w:jc w:val="center"/>
        <w:rPr>
          <w:rFonts w:hint="eastAsia" w:ascii="黑体" w:eastAsia="黑体"/>
          <w:b/>
          <w:sz w:val="30"/>
        </w:rPr>
      </w:pPr>
    </w:p>
    <w:p w14:paraId="470C07F6">
      <w:pPr>
        <w:tabs>
          <w:tab w:val="left" w:pos="1270"/>
        </w:tabs>
        <w:snapToGrid w:val="0"/>
        <w:spacing w:before="120" w:beforeLines="50" w:after="120" w:afterLines="50" w:line="560" w:lineRule="exact"/>
        <w:jc w:val="center"/>
        <w:rPr>
          <w:rFonts w:hint="eastAsia" w:ascii="黑体" w:hAnsi="黑体" w:eastAsia="黑体"/>
          <w:b/>
          <w:sz w:val="32"/>
          <w:szCs w:val="32"/>
        </w:rPr>
      </w:pPr>
      <w:r>
        <w:rPr>
          <w:rFonts w:hint="eastAsia" w:ascii="黑体" w:hAnsi="黑体" w:eastAsia="黑体"/>
          <w:b/>
          <w:sz w:val="32"/>
          <w:szCs w:val="32"/>
        </w:rPr>
        <w:t>第一章 总则</w:t>
      </w:r>
    </w:p>
    <w:p w14:paraId="67875C58">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 xml:space="preserve">第一条 </w:t>
      </w:r>
      <w:r>
        <w:rPr>
          <w:rFonts w:ascii="仿宋_GB2312" w:eastAsia="仿宋_GB2312"/>
          <w:sz w:val="32"/>
          <w:szCs w:val="32"/>
        </w:rPr>
        <w:t>为全面贯彻党的教育方针，落实立德树人根本任务，引导和激励</w:t>
      </w:r>
      <w:r>
        <w:rPr>
          <w:rFonts w:hint="eastAsia" w:ascii="仿宋_GB2312" w:eastAsia="仿宋_GB2312"/>
          <w:sz w:val="32"/>
          <w:szCs w:val="32"/>
        </w:rPr>
        <w:t>第二学士学位</w:t>
      </w:r>
      <w:r>
        <w:rPr>
          <w:rFonts w:ascii="仿宋_GB2312" w:eastAsia="仿宋_GB2312"/>
          <w:sz w:val="32"/>
          <w:szCs w:val="32"/>
        </w:rPr>
        <w:t>学生德智体美劳全面发展，</w:t>
      </w:r>
      <w:r>
        <w:rPr>
          <w:rFonts w:hint="eastAsia" w:ascii="仿宋_GB2312" w:eastAsia="仿宋_GB2312"/>
          <w:sz w:val="32"/>
          <w:szCs w:val="32"/>
        </w:rPr>
        <w:t>参照</w:t>
      </w:r>
      <w:r>
        <w:rPr>
          <w:rFonts w:ascii="仿宋_GB2312" w:eastAsia="仿宋_GB2312"/>
          <w:sz w:val="32"/>
          <w:szCs w:val="32"/>
        </w:rPr>
        <w:t>《西南交通大学</w:t>
      </w:r>
      <w:r>
        <w:rPr>
          <w:rFonts w:hint="eastAsia" w:ascii="仿宋_GB2312" w:eastAsia="仿宋_GB2312"/>
          <w:sz w:val="32"/>
          <w:szCs w:val="32"/>
        </w:rPr>
        <w:t>本科生</w:t>
      </w:r>
      <w:r>
        <w:rPr>
          <w:rFonts w:ascii="仿宋_GB2312" w:eastAsia="仿宋_GB2312"/>
          <w:sz w:val="32"/>
          <w:szCs w:val="32"/>
        </w:rPr>
        <w:t>综合素质评价办法》，</w:t>
      </w:r>
      <w:r>
        <w:rPr>
          <w:rFonts w:hint="eastAsia" w:ascii="仿宋_GB2312" w:eastAsia="仿宋_GB2312"/>
          <w:sz w:val="32"/>
          <w:szCs w:val="32"/>
        </w:rPr>
        <w:t>结合</w:t>
      </w:r>
      <w:r>
        <w:rPr>
          <w:rFonts w:hint="eastAsia" w:ascii="仿宋_GB2312" w:eastAsia="仿宋_GB2312"/>
          <w:sz w:val="32"/>
          <w:szCs w:val="32"/>
          <w:lang w:val="en-US"/>
        </w:rPr>
        <w:t>第二学士学位学生</w:t>
      </w:r>
      <w:r>
        <w:rPr>
          <w:rFonts w:hint="eastAsia" w:ascii="仿宋_GB2312" w:eastAsia="仿宋_GB2312"/>
          <w:sz w:val="32"/>
          <w:szCs w:val="32"/>
        </w:rPr>
        <w:t>的实际情况，制定本办法。</w:t>
      </w:r>
    </w:p>
    <w:p w14:paraId="0CCB44B3">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 xml:space="preserve">第二条 </w:t>
      </w:r>
      <w:r>
        <w:rPr>
          <w:rFonts w:ascii="仿宋_GB2312" w:eastAsia="仿宋_GB2312"/>
          <w:sz w:val="32"/>
          <w:szCs w:val="32"/>
        </w:rPr>
        <w:t>综合素质评价以科学成才观念为导向，坚持以德为先、能力为重、全面发展，坚持导向性、科学性、全面性、公平公正、实事求是，切实引导学生坚定理想信念、厚植爱国主义情怀、加强品德修养、增长知识见识、培养奋斗精神、增强综合素质。</w:t>
      </w:r>
    </w:p>
    <w:p w14:paraId="6E274E0F">
      <w:pPr>
        <w:pStyle w:val="7"/>
        <w:spacing w:line="560" w:lineRule="exact"/>
        <w:ind w:firstLine="643" w:firstLineChars="200"/>
        <w:jc w:val="both"/>
        <w:rPr>
          <w:rFonts w:hint="eastAsia" w:ascii="仿宋_GB2312" w:eastAsia="仿宋_GB2312"/>
          <w:sz w:val="32"/>
          <w:szCs w:val="32"/>
        </w:rPr>
      </w:pPr>
      <w:r>
        <w:rPr>
          <w:rFonts w:ascii="仿宋_GB2312" w:eastAsia="仿宋_GB2312"/>
          <w:b/>
          <w:bCs/>
          <w:sz w:val="32"/>
          <w:szCs w:val="32"/>
        </w:rPr>
        <w:t>第三条</w:t>
      </w:r>
      <w:r>
        <w:rPr>
          <w:rFonts w:hint="eastAsia" w:ascii="仿宋_GB2312" w:eastAsia="仿宋_GB2312"/>
          <w:b/>
          <w:bCs/>
          <w:sz w:val="32"/>
          <w:szCs w:val="32"/>
        </w:rPr>
        <w:t xml:space="preserve"> </w:t>
      </w:r>
      <w:r>
        <w:rPr>
          <w:rFonts w:ascii="仿宋_GB2312" w:eastAsia="仿宋_GB2312"/>
          <w:sz w:val="32"/>
          <w:szCs w:val="32"/>
        </w:rPr>
        <w:t>综合素质评价分为基础性评价和发展性评价两部分。基础性评价是指学校在人才培养教育、教学等环节中的基本要求，</w:t>
      </w:r>
      <w:r>
        <w:rPr>
          <w:rFonts w:hint="eastAsia" w:ascii="仿宋_GB2312" w:eastAsia="仿宋_GB2312"/>
          <w:sz w:val="32"/>
          <w:szCs w:val="32"/>
        </w:rPr>
        <w:t>主要考察德育评价和智育评价方面的内容</w:t>
      </w:r>
      <w:r>
        <w:rPr>
          <w:rFonts w:ascii="仿宋_GB2312" w:eastAsia="仿宋_GB2312"/>
          <w:sz w:val="32"/>
          <w:szCs w:val="32"/>
        </w:rPr>
        <w:t>；</w:t>
      </w:r>
      <w:r>
        <w:rPr>
          <w:rFonts w:ascii="仿宋_GB2312" w:eastAsia="仿宋_GB2312"/>
          <w:sz w:val="32"/>
          <w:szCs w:val="32"/>
          <w:highlight w:val="yellow"/>
        </w:rPr>
        <w:t>发展性评价是指第二学士学位在学生工作、创新创造、志愿服务、社会实践等方面表现出的创新性、实践性和创造性的素质。</w:t>
      </w:r>
    </w:p>
    <w:p w14:paraId="42C1FC35">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第二条 本办法适用于</w:t>
      </w:r>
      <w:r>
        <w:rPr>
          <w:rFonts w:hint="eastAsia" w:ascii="仿宋_GB2312" w:eastAsia="仿宋_GB2312"/>
          <w:sz w:val="32"/>
          <w:szCs w:val="32"/>
          <w:lang w:val="en-US"/>
        </w:rPr>
        <w:t>在读</w:t>
      </w:r>
      <w:r>
        <w:rPr>
          <w:rFonts w:hint="eastAsia" w:ascii="仿宋_GB2312" w:eastAsia="仿宋_GB2312"/>
          <w:sz w:val="32"/>
          <w:szCs w:val="32"/>
        </w:rPr>
        <w:t>的第</w:t>
      </w:r>
      <w:r>
        <w:rPr>
          <w:rFonts w:hint="eastAsia" w:ascii="仿宋_GB2312" w:eastAsia="仿宋_GB2312"/>
          <w:sz w:val="32"/>
          <w:szCs w:val="32"/>
          <w:lang w:val="en-US"/>
        </w:rPr>
        <w:t>二学士学位学</w:t>
      </w:r>
      <w:r>
        <w:rPr>
          <w:rFonts w:hint="eastAsia" w:ascii="仿宋_GB2312" w:eastAsia="仿宋_GB2312"/>
          <w:sz w:val="32"/>
          <w:szCs w:val="32"/>
        </w:rPr>
        <w:t>生。</w:t>
      </w:r>
    </w:p>
    <w:p w14:paraId="20106954">
      <w:pPr>
        <w:spacing w:line="560" w:lineRule="exact"/>
        <w:jc w:val="center"/>
        <w:rPr>
          <w:rFonts w:hint="eastAsia" w:ascii="黑体" w:hAnsi="黑体" w:eastAsia="黑体"/>
          <w:sz w:val="32"/>
          <w:szCs w:val="32"/>
        </w:rPr>
      </w:pPr>
      <w:r>
        <w:rPr>
          <w:rFonts w:hint="eastAsia" w:ascii="黑体" w:hAnsi="黑体" w:eastAsia="黑体"/>
          <w:sz w:val="32"/>
          <w:szCs w:val="32"/>
        </w:rPr>
        <w:t>第二章 评价内容和方法</w:t>
      </w:r>
    </w:p>
    <w:p w14:paraId="2CF467F3">
      <w:pPr>
        <w:spacing w:line="560" w:lineRule="exact"/>
        <w:ind w:firstLine="643" w:firstLineChars="200"/>
        <w:jc w:val="both"/>
        <w:rPr>
          <w:rFonts w:hint="eastAsia" w:ascii="仿宋_GB2312" w:eastAsia="仿宋_GB2312"/>
          <w:sz w:val="32"/>
          <w:szCs w:val="32"/>
          <w:lang w:val="en-US"/>
        </w:rPr>
      </w:pPr>
      <w:r>
        <w:rPr>
          <w:rFonts w:ascii="仿宋_GB2312" w:eastAsia="仿宋_GB2312"/>
          <w:b/>
          <w:bCs/>
          <w:sz w:val="32"/>
          <w:szCs w:val="32"/>
          <w:lang w:val="en-US"/>
        </w:rPr>
        <w:t>第五条</w:t>
      </w:r>
      <w:r>
        <w:rPr>
          <w:rFonts w:ascii="仿宋_GB2312" w:eastAsia="仿宋_GB2312"/>
          <w:sz w:val="32"/>
          <w:szCs w:val="32"/>
          <w:lang w:val="en-US"/>
        </w:rPr>
        <w:t> 基础性评价具体内容及评价方法如下：</w:t>
      </w:r>
    </w:p>
    <w:p w14:paraId="3744B350">
      <w:pPr>
        <w:spacing w:line="560" w:lineRule="exact"/>
        <w:ind w:firstLine="643" w:firstLineChars="200"/>
        <w:jc w:val="both"/>
        <w:rPr>
          <w:rFonts w:hint="eastAsia" w:ascii="仿宋_GB2312" w:eastAsia="仿宋_GB2312"/>
          <w:b/>
          <w:bCs/>
          <w:sz w:val="32"/>
          <w:szCs w:val="32"/>
          <w:lang w:val="en-US"/>
        </w:rPr>
      </w:pPr>
      <w:r>
        <w:rPr>
          <w:rFonts w:ascii="仿宋_GB2312" w:eastAsia="仿宋_GB2312"/>
          <w:b/>
          <w:bCs/>
          <w:sz w:val="32"/>
          <w:szCs w:val="32"/>
          <w:lang w:val="en-US"/>
        </w:rPr>
        <w:t>（一）德育评价</w:t>
      </w:r>
    </w:p>
    <w:p w14:paraId="619FDC54">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1.德育评价，重点对学生思想品德、日常表现进行评价。</w:t>
      </w:r>
    </w:p>
    <w:p w14:paraId="4CD45B4E">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2.班级同学和辅导员按照“优秀”“良好”“一般”“差”四个等次进行班级同学互评和辅导员评价。具体观测点为：</w:t>
      </w:r>
    </w:p>
    <w:p w14:paraId="09BFA28B">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1）坚持学习贯彻习近平新时代中国特色社会主义思想，深刻领悟“两个确立”的决定性意义，树牢“四个意识”，坚定“四个自信”，坚决做到“两个维护”，树立中国特色社会主义共同理想，树立爱国主义思想，积极弘扬和践行社会主义核心价值观；</w:t>
      </w:r>
    </w:p>
    <w:p w14:paraId="17CB74DB">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（2）热爱母校，积极践行“</w:t>
      </w:r>
      <w:r>
        <w:rPr>
          <w:rFonts w:hint="eastAsia" w:ascii="微软雅黑" w:hAnsi="微软雅黑" w:eastAsia="微软雅黑" w:cs="微软雅黑"/>
          <w:sz w:val="32"/>
          <w:szCs w:val="32"/>
          <w:lang w:val="en-US"/>
        </w:rPr>
        <w:t>竢</w:t>
      </w:r>
      <w:r>
        <w:rPr>
          <w:rFonts w:hint="eastAsia" w:ascii="仿宋_GB2312" w:hAnsi="仿宋_GB2312" w:eastAsia="仿宋_GB2312" w:cs="仿宋_GB2312"/>
          <w:sz w:val="32"/>
          <w:szCs w:val="32"/>
          <w:lang w:val="en-US"/>
        </w:rPr>
        <w:t>实扬华，自强不息</w:t>
      </w:r>
      <w:r>
        <w:rPr>
          <w:rFonts w:ascii="仿宋_GB2312" w:eastAsia="仿宋_GB2312"/>
          <w:sz w:val="32"/>
          <w:szCs w:val="32"/>
          <w:lang w:val="en-US"/>
        </w:rPr>
        <w:t>”的交大精神和“精勤求学，敦笃励志，果毅力行，忠恕任事”的交大校训；</w:t>
      </w:r>
    </w:p>
    <w:p w14:paraId="734EBE89">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（3）遵守宪法、法律、法规，遵守公民基本道德规范，遵守学校章程和规章制度，遵守学生行为规范，恪守学术道德；</w:t>
      </w:r>
    </w:p>
    <w:p w14:paraId="2EF08AD4">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（4）尊敬师长，团结同学，关心集体，有较强的集体荣誉感，积极参加各项社会工作和集体活动。</w:t>
      </w:r>
    </w:p>
    <w:p w14:paraId="5D0AA0A2">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3.在评价学年中有下列情况之一，视其情节轻重，德育评价应当给予“一般”或“差”等次：</w:t>
      </w:r>
    </w:p>
    <w:p w14:paraId="7BC15AD6">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（1）违反国家法律、法规，反对四项基本原则，破坏安定团结，扰乱社会秩序，损害国家利益和社会公共利益的；</w:t>
      </w:r>
    </w:p>
    <w:p w14:paraId="43C6CAD7">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（2）严重违反公共道德行为规范，违背社会公序良俗，损害社会风纪的；</w:t>
      </w:r>
    </w:p>
    <w:p w14:paraId="3C6060C3">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（3）严重违反学校管理规定，扰乱学校教育教学秩序、生活秩序以及公共场所管理秩序，侵害学校的合法权益，给学校造成严重不良影响或损失的；</w:t>
      </w:r>
    </w:p>
    <w:p w14:paraId="586CFDB1">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（4）严重侵害他人的合法权益，给他人造成严重不良影响或损失的。</w:t>
      </w:r>
    </w:p>
    <w:p w14:paraId="684D5BDF">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4.班级同学互评和辅导员评价等次与分数的换算关系如下：</w:t>
      </w:r>
    </w:p>
    <w:tbl>
      <w:tblPr>
        <w:tblStyle w:val="11"/>
        <w:tblW w:w="7078" w:type="dxa"/>
        <w:jc w:val="center"/>
        <w:tblLayout w:type="autofit"/>
        <w:tblCellMar>
          <w:top w:w="0" w:type="dxa"/>
          <w:left w:w="0" w:type="dxa"/>
          <w:bottom w:w="0" w:type="dxa"/>
          <w:right w:w="0" w:type="dxa"/>
        </w:tblCellMar>
      </w:tblPr>
      <w:tblGrid>
        <w:gridCol w:w="1550"/>
        <w:gridCol w:w="1418"/>
        <w:gridCol w:w="1418"/>
        <w:gridCol w:w="1416"/>
        <w:gridCol w:w="1276"/>
      </w:tblGrid>
      <w:tr w14:paraId="0C162366">
        <w:tblPrEx>
          <w:tblCellMar>
            <w:top w:w="0" w:type="dxa"/>
            <w:left w:w="0" w:type="dxa"/>
            <w:bottom w:w="0" w:type="dxa"/>
            <w:right w:w="0" w:type="dxa"/>
          </w:tblCellMar>
        </w:tblPrEx>
        <w:trPr>
          <w:jc w:val="center"/>
        </w:trPr>
        <w:tc>
          <w:tcPr>
            <w:tcW w:w="1095" w:type="pct"/>
            <w:tcBorders>
              <w:top w:val="single" w:color="auto" w:sz="8" w:space="0"/>
              <w:left w:val="single" w:color="auto" w:sz="8" w:space="0"/>
              <w:bottom w:val="single" w:color="auto" w:sz="8" w:space="0"/>
              <w:right w:val="single" w:color="auto" w:sz="8" w:space="0"/>
            </w:tcBorders>
          </w:tcPr>
          <w:p w14:paraId="7ACA5B6A">
            <w:pPr>
              <w:spacing w:line="560" w:lineRule="exact"/>
              <w:jc w:val="center"/>
              <w:rPr>
                <w:rFonts w:hint="eastAsia" w:ascii="仿宋_GB2312" w:eastAsia="仿宋_GB2312"/>
                <w:sz w:val="32"/>
                <w:szCs w:val="32"/>
                <w:lang w:val="en-US"/>
              </w:rPr>
            </w:pPr>
            <w:r>
              <w:rPr>
                <w:rFonts w:ascii="仿宋_GB2312" w:eastAsia="仿宋_GB2312"/>
                <w:sz w:val="32"/>
                <w:szCs w:val="32"/>
                <w:lang w:val="en-US"/>
              </w:rPr>
              <w:t>等次</w:t>
            </w:r>
          </w:p>
        </w:tc>
        <w:tc>
          <w:tcPr>
            <w:tcW w:w="1002" w:type="pct"/>
            <w:tcBorders>
              <w:top w:val="single" w:color="auto" w:sz="8" w:space="0"/>
              <w:left w:val="single" w:color="auto" w:sz="8" w:space="0"/>
              <w:bottom w:val="single" w:color="auto" w:sz="8" w:space="0"/>
              <w:right w:val="single" w:color="auto" w:sz="8" w:space="0"/>
            </w:tcBorders>
          </w:tcPr>
          <w:p w14:paraId="4021F6CE">
            <w:pPr>
              <w:spacing w:line="560" w:lineRule="exact"/>
              <w:jc w:val="center"/>
              <w:rPr>
                <w:rFonts w:hint="eastAsia" w:ascii="仿宋_GB2312" w:eastAsia="仿宋_GB2312"/>
                <w:sz w:val="32"/>
                <w:szCs w:val="32"/>
                <w:lang w:val="en-US"/>
              </w:rPr>
            </w:pPr>
            <w:r>
              <w:rPr>
                <w:rFonts w:ascii="仿宋_GB2312" w:eastAsia="仿宋_GB2312"/>
                <w:sz w:val="32"/>
                <w:szCs w:val="32"/>
                <w:lang w:val="en-US"/>
              </w:rPr>
              <w:t>优秀</w:t>
            </w:r>
          </w:p>
        </w:tc>
        <w:tc>
          <w:tcPr>
            <w:tcW w:w="1002" w:type="pct"/>
            <w:tcBorders>
              <w:top w:val="single" w:color="auto" w:sz="8" w:space="0"/>
              <w:left w:val="single" w:color="auto" w:sz="8" w:space="0"/>
              <w:bottom w:val="single" w:color="auto" w:sz="8" w:space="0"/>
              <w:right w:val="single" w:color="auto" w:sz="8" w:space="0"/>
            </w:tcBorders>
          </w:tcPr>
          <w:p w14:paraId="72061C11">
            <w:pPr>
              <w:spacing w:line="560" w:lineRule="exact"/>
              <w:jc w:val="center"/>
              <w:rPr>
                <w:rFonts w:hint="eastAsia" w:ascii="仿宋_GB2312" w:eastAsia="仿宋_GB2312"/>
                <w:sz w:val="32"/>
                <w:szCs w:val="32"/>
                <w:lang w:val="en-US"/>
              </w:rPr>
            </w:pPr>
            <w:r>
              <w:rPr>
                <w:rFonts w:ascii="仿宋_GB2312" w:eastAsia="仿宋_GB2312"/>
                <w:sz w:val="32"/>
                <w:szCs w:val="32"/>
                <w:lang w:val="en-US"/>
              </w:rPr>
              <w:t>良好</w:t>
            </w:r>
          </w:p>
        </w:tc>
        <w:tc>
          <w:tcPr>
            <w:tcW w:w="1000" w:type="pct"/>
            <w:tcBorders>
              <w:top w:val="single" w:color="auto" w:sz="8" w:space="0"/>
              <w:left w:val="single" w:color="auto" w:sz="8" w:space="0"/>
              <w:bottom w:val="single" w:color="auto" w:sz="8" w:space="0"/>
              <w:right w:val="single" w:color="auto" w:sz="8" w:space="0"/>
            </w:tcBorders>
          </w:tcPr>
          <w:p w14:paraId="6F6FB335">
            <w:pPr>
              <w:spacing w:line="560" w:lineRule="exact"/>
              <w:jc w:val="center"/>
              <w:rPr>
                <w:rFonts w:hint="eastAsia" w:ascii="仿宋_GB2312" w:eastAsia="仿宋_GB2312"/>
                <w:sz w:val="32"/>
                <w:szCs w:val="32"/>
                <w:lang w:val="en-US"/>
              </w:rPr>
            </w:pPr>
            <w:r>
              <w:rPr>
                <w:rFonts w:ascii="仿宋_GB2312" w:eastAsia="仿宋_GB2312"/>
                <w:sz w:val="32"/>
                <w:szCs w:val="32"/>
                <w:lang w:val="en-US"/>
              </w:rPr>
              <w:t>一般</w:t>
            </w:r>
          </w:p>
        </w:tc>
        <w:tc>
          <w:tcPr>
            <w:tcW w:w="901" w:type="pct"/>
            <w:tcBorders>
              <w:top w:val="single" w:color="auto" w:sz="8" w:space="0"/>
              <w:left w:val="single" w:color="auto" w:sz="8" w:space="0"/>
              <w:bottom w:val="single" w:color="auto" w:sz="8" w:space="0"/>
              <w:right w:val="single" w:color="auto" w:sz="8" w:space="0"/>
            </w:tcBorders>
          </w:tcPr>
          <w:p w14:paraId="2B3ADBFC">
            <w:pPr>
              <w:spacing w:line="560" w:lineRule="exact"/>
              <w:jc w:val="center"/>
              <w:rPr>
                <w:rFonts w:hint="eastAsia" w:ascii="仿宋_GB2312" w:eastAsia="仿宋_GB2312"/>
                <w:sz w:val="32"/>
                <w:szCs w:val="32"/>
                <w:lang w:val="en-US"/>
              </w:rPr>
            </w:pPr>
            <w:r>
              <w:rPr>
                <w:rFonts w:ascii="仿宋_GB2312" w:eastAsia="仿宋_GB2312"/>
                <w:sz w:val="32"/>
                <w:szCs w:val="32"/>
                <w:lang w:val="en-US"/>
              </w:rPr>
              <w:t>差</w:t>
            </w:r>
          </w:p>
        </w:tc>
      </w:tr>
      <w:tr w14:paraId="1FC2BB62">
        <w:tblPrEx>
          <w:tblCellMar>
            <w:top w:w="0" w:type="dxa"/>
            <w:left w:w="0" w:type="dxa"/>
            <w:bottom w:w="0" w:type="dxa"/>
            <w:right w:w="0" w:type="dxa"/>
          </w:tblCellMar>
        </w:tblPrEx>
        <w:trPr>
          <w:jc w:val="center"/>
        </w:trPr>
        <w:tc>
          <w:tcPr>
            <w:tcW w:w="1095" w:type="pct"/>
            <w:tcBorders>
              <w:top w:val="single" w:color="auto" w:sz="8" w:space="0"/>
              <w:left w:val="single" w:color="auto" w:sz="8" w:space="0"/>
              <w:bottom w:val="single" w:color="auto" w:sz="8" w:space="0"/>
              <w:right w:val="single" w:color="auto" w:sz="8" w:space="0"/>
            </w:tcBorders>
          </w:tcPr>
          <w:p w14:paraId="4858B328">
            <w:pPr>
              <w:spacing w:line="560" w:lineRule="exact"/>
              <w:jc w:val="center"/>
              <w:rPr>
                <w:rFonts w:hint="eastAsia" w:ascii="仿宋_GB2312" w:eastAsia="仿宋_GB2312"/>
                <w:sz w:val="32"/>
                <w:szCs w:val="32"/>
                <w:lang w:val="en-US"/>
              </w:rPr>
            </w:pPr>
            <w:r>
              <w:rPr>
                <w:rFonts w:ascii="仿宋_GB2312" w:eastAsia="仿宋_GB2312"/>
                <w:sz w:val="32"/>
                <w:szCs w:val="32"/>
                <w:lang w:val="en-US"/>
              </w:rPr>
              <w:t>分数</w:t>
            </w:r>
          </w:p>
        </w:tc>
        <w:tc>
          <w:tcPr>
            <w:tcW w:w="1002" w:type="pct"/>
            <w:tcBorders>
              <w:top w:val="single" w:color="auto" w:sz="8" w:space="0"/>
              <w:left w:val="single" w:color="auto" w:sz="8" w:space="0"/>
              <w:bottom w:val="single" w:color="auto" w:sz="8" w:space="0"/>
              <w:right w:val="single" w:color="auto" w:sz="8" w:space="0"/>
            </w:tcBorders>
          </w:tcPr>
          <w:p w14:paraId="0DDDDABA">
            <w:pPr>
              <w:spacing w:line="560" w:lineRule="exact"/>
              <w:jc w:val="center"/>
              <w:rPr>
                <w:rFonts w:hint="eastAsia" w:ascii="仿宋_GB2312" w:eastAsia="仿宋_GB2312"/>
                <w:sz w:val="32"/>
                <w:szCs w:val="32"/>
                <w:lang w:val="en-US"/>
              </w:rPr>
            </w:pPr>
            <w:r>
              <w:rPr>
                <w:rFonts w:ascii="仿宋_GB2312" w:eastAsia="仿宋_GB2312"/>
                <w:sz w:val="32"/>
                <w:szCs w:val="32"/>
                <w:lang w:val="en-US"/>
              </w:rPr>
              <w:t>100</w:t>
            </w:r>
          </w:p>
        </w:tc>
        <w:tc>
          <w:tcPr>
            <w:tcW w:w="1002" w:type="pct"/>
            <w:tcBorders>
              <w:top w:val="single" w:color="auto" w:sz="8" w:space="0"/>
              <w:left w:val="single" w:color="auto" w:sz="8" w:space="0"/>
              <w:bottom w:val="single" w:color="auto" w:sz="8" w:space="0"/>
              <w:right w:val="single" w:color="auto" w:sz="8" w:space="0"/>
            </w:tcBorders>
          </w:tcPr>
          <w:p w14:paraId="131CD934">
            <w:pPr>
              <w:spacing w:line="560" w:lineRule="exact"/>
              <w:jc w:val="center"/>
              <w:rPr>
                <w:rFonts w:hint="eastAsia" w:ascii="仿宋_GB2312" w:eastAsia="仿宋_GB2312"/>
                <w:sz w:val="32"/>
                <w:szCs w:val="32"/>
                <w:lang w:val="en-US"/>
              </w:rPr>
            </w:pPr>
            <w:r>
              <w:rPr>
                <w:rFonts w:ascii="仿宋_GB2312" w:eastAsia="仿宋_GB2312"/>
                <w:sz w:val="32"/>
                <w:szCs w:val="32"/>
                <w:lang w:val="en-US"/>
              </w:rPr>
              <w:t>90</w:t>
            </w:r>
          </w:p>
        </w:tc>
        <w:tc>
          <w:tcPr>
            <w:tcW w:w="1000" w:type="pct"/>
            <w:tcBorders>
              <w:top w:val="single" w:color="auto" w:sz="8" w:space="0"/>
              <w:left w:val="single" w:color="auto" w:sz="8" w:space="0"/>
              <w:bottom w:val="single" w:color="auto" w:sz="8" w:space="0"/>
              <w:right w:val="single" w:color="auto" w:sz="8" w:space="0"/>
            </w:tcBorders>
          </w:tcPr>
          <w:p w14:paraId="54C56C3E">
            <w:pPr>
              <w:spacing w:line="560" w:lineRule="exact"/>
              <w:jc w:val="center"/>
              <w:rPr>
                <w:rFonts w:hint="eastAsia" w:ascii="仿宋_GB2312" w:eastAsia="仿宋_GB2312"/>
                <w:sz w:val="32"/>
                <w:szCs w:val="32"/>
                <w:lang w:val="en-US"/>
              </w:rPr>
            </w:pPr>
            <w:r>
              <w:rPr>
                <w:rFonts w:ascii="仿宋_GB2312" w:eastAsia="仿宋_GB2312"/>
                <w:sz w:val="32"/>
                <w:szCs w:val="32"/>
                <w:lang w:val="en-US"/>
              </w:rPr>
              <w:t>75</w:t>
            </w:r>
          </w:p>
        </w:tc>
        <w:tc>
          <w:tcPr>
            <w:tcW w:w="901" w:type="pct"/>
            <w:tcBorders>
              <w:top w:val="single" w:color="auto" w:sz="8" w:space="0"/>
              <w:left w:val="single" w:color="auto" w:sz="8" w:space="0"/>
              <w:bottom w:val="single" w:color="auto" w:sz="8" w:space="0"/>
              <w:right w:val="single" w:color="auto" w:sz="8" w:space="0"/>
            </w:tcBorders>
          </w:tcPr>
          <w:p w14:paraId="34D663E3">
            <w:pPr>
              <w:spacing w:line="560" w:lineRule="exact"/>
              <w:jc w:val="center"/>
              <w:rPr>
                <w:rFonts w:hint="eastAsia" w:ascii="仿宋_GB2312" w:eastAsia="仿宋_GB2312"/>
                <w:sz w:val="32"/>
                <w:szCs w:val="32"/>
                <w:lang w:val="en-US"/>
              </w:rPr>
            </w:pPr>
            <w:r>
              <w:rPr>
                <w:rFonts w:ascii="仿宋_GB2312" w:eastAsia="仿宋_GB2312"/>
                <w:sz w:val="32"/>
                <w:szCs w:val="32"/>
                <w:lang w:val="en-US"/>
              </w:rPr>
              <w:t>50</w:t>
            </w:r>
          </w:p>
        </w:tc>
      </w:tr>
    </w:tbl>
    <w:p w14:paraId="0C9B4FC2">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5.德育评价成绩由班级同学互评平均分（权重80%）和辅导员评价得分（权重20%）两部分组成，计算公式为：</w:t>
      </w:r>
    </w:p>
    <w:p w14:paraId="3D4F7EF2">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德育评价成绩=班级同学互评平均分×80%+辅导员评价得分×20%</w:t>
      </w:r>
    </w:p>
    <w:p w14:paraId="2DC5EFF8">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（1）班级同学互评平均分是指被评价学生所在班级同学（包括被评价学生本人）对被评价学生评价等次换算成分数后，去掉一个最高分和一个最低分后的算术平均分。</w:t>
      </w:r>
    </w:p>
    <w:p w14:paraId="1D93BFB5">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（2）辅导员评价得分是指辅导员对被评价学生评价等次换算所得分数。</w:t>
      </w:r>
    </w:p>
    <w:p w14:paraId="482E4896">
      <w:pPr>
        <w:spacing w:line="560" w:lineRule="exact"/>
        <w:ind w:firstLine="640" w:firstLineChars="200"/>
        <w:jc w:val="both"/>
        <w:rPr>
          <w:rFonts w:hint="eastAsia" w:ascii="仿宋_GB2312" w:eastAsia="仿宋_GB2312"/>
          <w:sz w:val="32"/>
          <w:szCs w:val="32"/>
          <w:lang w:val="en-US"/>
        </w:rPr>
      </w:pPr>
      <w:r>
        <w:rPr>
          <w:rFonts w:ascii="仿宋_GB2312" w:eastAsia="仿宋_GB2312"/>
          <w:sz w:val="32"/>
          <w:szCs w:val="32"/>
          <w:lang w:val="en-US"/>
        </w:rPr>
        <w:t>6.学生德育评价成绩不低于80分且完成班级同学互评的，方可参加评价学年评奖评优。</w:t>
      </w:r>
    </w:p>
    <w:p w14:paraId="77267A68">
      <w:pPr>
        <w:spacing w:line="560" w:lineRule="exact"/>
        <w:ind w:firstLine="643" w:firstLineChars="200"/>
        <w:jc w:val="both"/>
        <w:rPr>
          <w:rFonts w:hint="eastAsia" w:ascii="仿宋_GB2312" w:eastAsia="仿宋_GB2312"/>
          <w:b/>
          <w:bCs/>
          <w:sz w:val="32"/>
          <w:szCs w:val="32"/>
          <w:lang w:val="en-US"/>
        </w:rPr>
      </w:pPr>
      <w:r>
        <w:rPr>
          <w:rFonts w:ascii="仿宋_GB2312" w:eastAsia="仿宋_GB2312"/>
          <w:b/>
          <w:bCs/>
          <w:sz w:val="32"/>
          <w:szCs w:val="32"/>
          <w:lang w:val="en-US"/>
        </w:rPr>
        <w:t>（二）智育评价</w:t>
      </w:r>
    </w:p>
    <w:p w14:paraId="380992D0">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智育评价成绩为参评学年专业培养方案要求的全部必修课程和专业限选课程的加权平均分，课程加权平均分计算均以正考考试成绩为准，补考成绩不参与计算，</w:t>
      </w:r>
      <w:r>
        <w:rPr>
          <w:rFonts w:hint="eastAsia" w:ascii="仿宋_GB2312" w:eastAsia="仿宋_GB2312"/>
          <w:b/>
          <w:bCs/>
          <w:sz w:val="32"/>
          <w:szCs w:val="32"/>
          <w:highlight w:val="yellow"/>
        </w:rPr>
        <w:t>未选修课程成绩按0分计</w:t>
      </w:r>
      <w:r>
        <w:rPr>
          <w:rFonts w:hint="eastAsia" w:ascii="仿宋_GB2312" w:eastAsia="仿宋_GB2312"/>
          <w:sz w:val="32"/>
          <w:szCs w:val="32"/>
        </w:rPr>
        <w:t>。因特殊原因，经本科生院同意并备案的缓考成绩可按正考成绩计算。课程加权平均分计算方式如下：</w:t>
      </w:r>
    </w:p>
    <w:p w14:paraId="62520476">
      <w:pPr>
        <w:pStyle w:val="7"/>
        <w:ind w:firstLine="640" w:firstLineChars="200"/>
        <w:jc w:val="both"/>
        <w:rPr>
          <w:rFonts w:hint="eastAsia" w:ascii="仿宋_GB2312" w:eastAsia="仿宋_GB2312"/>
          <w:iCs/>
          <w:sz w:val="32"/>
          <w:szCs w:val="32"/>
        </w:rPr>
      </w:pPr>
      <m:oMathPara>
        <m:oMath>
          <m:r>
            <m:rPr>
              <m:sty m:val="p"/>
            </m:rPr>
            <w:rPr>
              <w:rFonts w:hint="eastAsia" w:ascii="Cambria Math" w:hAnsi="Cambria Math" w:eastAsia="仿宋_GB2312"/>
              <w:sz w:val="32"/>
              <w:szCs w:val="32"/>
            </w:rPr>
            <m:t>课程加权平均分=</m:t>
          </m:r>
          <m:f>
            <m:fPr>
              <m:ctrlPr>
                <w:rPr>
                  <w:rFonts w:hint="eastAsia" w:ascii="Cambria Math" w:hAnsi="Cambria Math" w:eastAsia="仿宋_GB2312"/>
                  <w:iCs/>
                  <w:sz w:val="32"/>
                  <w:szCs w:val="32"/>
                </w:rPr>
              </m:ctrlPr>
            </m:fPr>
            <m:num>
              <m:nary>
                <m:naryPr>
                  <m:chr m:val="∑"/>
                  <m:limLoc m:val="undOvr"/>
                  <m:subHide m:val="1"/>
                  <m:supHide m:val="1"/>
                  <m:ctrlPr>
                    <w:rPr>
                      <w:rFonts w:hint="eastAsia" w:ascii="Cambria Math" w:hAnsi="Cambria Math" w:eastAsia="仿宋_GB2312"/>
                      <w:iCs/>
                      <w:sz w:val="32"/>
                      <w:szCs w:val="32"/>
                    </w:rPr>
                  </m:ctrlPr>
                </m:naryPr>
                <m:sub>
                  <m:ctrlPr>
                    <w:rPr>
                      <w:rFonts w:hint="eastAsia" w:ascii="Cambria Math" w:hAnsi="Cambria Math" w:eastAsia="仿宋_GB2312"/>
                      <w:iCs/>
                      <w:sz w:val="32"/>
                      <w:szCs w:val="32"/>
                    </w:rPr>
                  </m:ctrlPr>
                </m:sub>
                <m:sup>
                  <m:ctrlPr>
                    <w:rPr>
                      <w:rFonts w:hint="eastAsia" w:ascii="Cambria Math" w:hAnsi="Cambria Math" w:eastAsia="仿宋_GB2312"/>
                      <w:iCs/>
                      <w:sz w:val="32"/>
                      <w:szCs w:val="32"/>
                    </w:rPr>
                  </m:ctrlPr>
                </m:sup>
                <m:e>
                  <m:r>
                    <m:rPr>
                      <m:sty m:val="p"/>
                    </m:rPr>
                    <w:rPr>
                      <w:rFonts w:hint="eastAsia" w:ascii="Cambria Math" w:hAnsi="Cambria Math" w:eastAsia="仿宋_GB2312"/>
                      <w:sz w:val="32"/>
                      <w:szCs w:val="32"/>
                    </w:rPr>
                    <m:t>（</m:t>
                  </m:r>
                  <m:r>
                    <m:rPr>
                      <m:sty m:val="p"/>
                    </m:rPr>
                    <w:rPr>
                      <w:rFonts w:hint="eastAsia" w:ascii="Cambria Math" w:hAnsi="Cambria Math" w:eastAsia="仿宋_GB2312"/>
                      <w:spacing w:val="-3"/>
                      <w:sz w:val="32"/>
                      <w:szCs w:val="32"/>
                    </w:rPr>
                    <m:t>课</m:t>
                  </m:r>
                  <m:r>
                    <m:rPr>
                      <m:sty m:val="p"/>
                    </m:rPr>
                    <w:rPr>
                      <w:rFonts w:hint="eastAsia" w:ascii="Cambria Math" w:hAnsi="Cambria Math" w:eastAsia="仿宋_GB2312"/>
                      <w:sz w:val="32"/>
                      <w:szCs w:val="32"/>
                    </w:rPr>
                    <m:t>程成绩×课程学分）</m:t>
                  </m:r>
                  <m:ctrlPr>
                    <w:rPr>
                      <w:rFonts w:hint="eastAsia" w:ascii="Cambria Math" w:hAnsi="Cambria Math" w:eastAsia="仿宋_GB2312"/>
                      <w:iCs/>
                      <w:sz w:val="32"/>
                      <w:szCs w:val="32"/>
                    </w:rPr>
                  </m:ctrlPr>
                </m:e>
              </m:nary>
              <m:ctrlPr>
                <w:rPr>
                  <w:rFonts w:hint="eastAsia" w:ascii="Cambria Math" w:hAnsi="Cambria Math" w:eastAsia="仿宋_GB2312"/>
                  <w:iCs/>
                  <w:sz w:val="32"/>
                  <w:szCs w:val="32"/>
                </w:rPr>
              </m:ctrlPr>
            </m:num>
            <m:den>
              <m:nary>
                <m:naryPr>
                  <m:chr m:val="∑"/>
                  <m:limLoc m:val="undOvr"/>
                  <m:subHide m:val="1"/>
                  <m:supHide m:val="1"/>
                  <m:ctrlPr>
                    <w:rPr>
                      <w:rFonts w:hint="eastAsia" w:ascii="Cambria Math" w:hAnsi="Cambria Math" w:eastAsia="仿宋_GB2312"/>
                      <w:iCs/>
                      <w:sz w:val="32"/>
                      <w:szCs w:val="32"/>
                    </w:rPr>
                  </m:ctrlPr>
                </m:naryPr>
                <m:sub>
                  <m:ctrlPr>
                    <w:rPr>
                      <w:rFonts w:hint="eastAsia" w:ascii="Cambria Math" w:hAnsi="Cambria Math" w:eastAsia="仿宋_GB2312"/>
                      <w:iCs/>
                      <w:sz w:val="32"/>
                      <w:szCs w:val="32"/>
                    </w:rPr>
                  </m:ctrlPr>
                </m:sub>
                <m:sup>
                  <m:ctrlPr>
                    <w:rPr>
                      <w:rFonts w:hint="eastAsia" w:ascii="Cambria Math" w:hAnsi="Cambria Math" w:eastAsia="仿宋_GB2312"/>
                      <w:iCs/>
                      <w:sz w:val="32"/>
                      <w:szCs w:val="32"/>
                    </w:rPr>
                  </m:ctrlPr>
                </m:sup>
                <m:e>
                  <m:r>
                    <m:rPr>
                      <m:sty m:val="p"/>
                    </m:rPr>
                    <w:rPr>
                      <w:rFonts w:hint="eastAsia" w:ascii="Cambria Math" w:hAnsi="Cambria Math" w:eastAsia="仿宋_GB2312"/>
                      <w:sz w:val="32"/>
                      <w:szCs w:val="32"/>
                    </w:rPr>
                    <m:t>（课程学分）</m:t>
                  </m:r>
                  <m:ctrlPr>
                    <w:rPr>
                      <w:rFonts w:hint="eastAsia" w:ascii="Cambria Math" w:hAnsi="Cambria Math" w:eastAsia="仿宋_GB2312"/>
                      <w:iCs/>
                      <w:sz w:val="32"/>
                      <w:szCs w:val="32"/>
                    </w:rPr>
                  </m:ctrlPr>
                </m:e>
              </m:nary>
              <m:ctrlPr>
                <w:rPr>
                  <w:rFonts w:hint="eastAsia" w:ascii="Cambria Math" w:hAnsi="Cambria Math" w:eastAsia="仿宋_GB2312"/>
                  <w:iCs/>
                  <w:sz w:val="32"/>
                  <w:szCs w:val="32"/>
                </w:rPr>
              </m:ctrlPr>
            </m:den>
          </m:f>
        </m:oMath>
      </m:oMathPara>
    </w:p>
    <w:p w14:paraId="3A524BB5">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 xml:space="preserve">第十条 </w:t>
      </w:r>
      <w:r>
        <w:rPr>
          <w:rFonts w:ascii="仿宋_GB2312" w:eastAsia="仿宋_GB2312"/>
          <w:sz w:val="32"/>
          <w:szCs w:val="32"/>
        </w:rPr>
        <w:t>发展性评价</w:t>
      </w:r>
      <w:r>
        <w:rPr>
          <w:rFonts w:hint="eastAsia" w:ascii="仿宋_GB2312" w:eastAsia="仿宋_GB2312"/>
          <w:sz w:val="32"/>
          <w:szCs w:val="32"/>
        </w:rPr>
        <w:t>成绩累加上限为3分，发展性评价</w:t>
      </w:r>
      <w:r>
        <w:rPr>
          <w:rFonts w:ascii="仿宋_GB2312" w:eastAsia="仿宋_GB2312"/>
          <w:sz w:val="32"/>
          <w:szCs w:val="32"/>
        </w:rPr>
        <w:t>具体内容及评价方法</w:t>
      </w:r>
      <w:r>
        <w:rPr>
          <w:rFonts w:hint="eastAsia" w:ascii="仿宋_GB2312" w:eastAsia="仿宋_GB2312"/>
          <w:sz w:val="32"/>
          <w:szCs w:val="32"/>
        </w:rPr>
        <w:t>按照《</w:t>
      </w:r>
      <w:r>
        <w:rPr>
          <w:rFonts w:ascii="仿宋_GB2312" w:eastAsia="仿宋_GB2312"/>
          <w:sz w:val="32"/>
          <w:szCs w:val="32"/>
        </w:rPr>
        <w:t>第二学士学位发展性评价成绩细则</w:t>
      </w:r>
      <w:r>
        <w:rPr>
          <w:rFonts w:hint="eastAsia" w:ascii="仿宋_GB2312" w:eastAsia="仿宋_GB2312"/>
          <w:sz w:val="32"/>
          <w:szCs w:val="32"/>
        </w:rPr>
        <w:t>》执行（见附件1）。</w:t>
      </w:r>
    </w:p>
    <w:p w14:paraId="10627DF7">
      <w:pPr>
        <w:pStyle w:val="7"/>
        <w:spacing w:line="560" w:lineRule="exact"/>
        <w:ind w:firstLine="643" w:firstLineChars="200"/>
        <w:jc w:val="both"/>
        <w:rPr>
          <w:rFonts w:hint="eastAsia" w:ascii="仿宋_GB2312" w:eastAsia="仿宋_GB2312"/>
          <w:sz w:val="32"/>
          <w:szCs w:val="32"/>
        </w:rPr>
      </w:pPr>
      <w:r>
        <w:rPr>
          <w:rFonts w:ascii="仿宋_GB2312" w:eastAsia="仿宋_GB2312"/>
          <w:b/>
          <w:bCs/>
          <w:sz w:val="32"/>
          <w:szCs w:val="32"/>
          <w:lang w:val="en-US"/>
        </w:rPr>
        <w:t>第七条</w:t>
      </w:r>
      <w:r>
        <w:rPr>
          <w:rFonts w:hint="eastAsia" w:ascii="仿宋_GB2312" w:eastAsia="仿宋_GB2312"/>
          <w:b/>
          <w:bCs/>
          <w:sz w:val="32"/>
          <w:szCs w:val="32"/>
          <w:lang w:val="en-US"/>
        </w:rPr>
        <w:t xml:space="preserve"> </w:t>
      </w:r>
      <w:r>
        <w:rPr>
          <w:rFonts w:hint="eastAsia" w:ascii="仿宋_GB2312" w:eastAsia="仿宋_GB2312"/>
          <w:sz w:val="32"/>
          <w:szCs w:val="32"/>
        </w:rPr>
        <w:t>第二学士学位学生综合素质评价成绩计算公式为：</w:t>
      </w:r>
    </w:p>
    <w:p w14:paraId="585409F5">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综合素质评价成绩=智育评价成绩+发展性评价成绩。</w:t>
      </w:r>
    </w:p>
    <w:p w14:paraId="4BAF3CF1">
      <w:pPr>
        <w:spacing w:line="560" w:lineRule="exact"/>
        <w:jc w:val="center"/>
        <w:rPr>
          <w:rFonts w:hint="eastAsia" w:ascii="黑体" w:hAnsi="黑体" w:eastAsia="黑体"/>
          <w:sz w:val="32"/>
          <w:szCs w:val="32"/>
        </w:rPr>
      </w:pPr>
      <w:r>
        <w:rPr>
          <w:rFonts w:ascii="黑体" w:hAnsi="黑体" w:eastAsia="黑体"/>
          <w:sz w:val="32"/>
          <w:szCs w:val="32"/>
        </w:rPr>
        <w:t>第三章</w:t>
      </w:r>
      <w:r>
        <w:rPr>
          <w:rFonts w:ascii="Calibri" w:hAnsi="Calibri" w:eastAsia="黑体" w:cs="Calibri"/>
          <w:sz w:val="32"/>
          <w:szCs w:val="32"/>
        </w:rPr>
        <w:t> </w:t>
      </w:r>
      <w:r>
        <w:rPr>
          <w:rFonts w:ascii="黑体" w:hAnsi="黑体" w:eastAsia="黑体"/>
          <w:sz w:val="32"/>
          <w:szCs w:val="32"/>
        </w:rPr>
        <w:t xml:space="preserve"> 组织实施</w:t>
      </w:r>
    </w:p>
    <w:p w14:paraId="1CC1C15F">
      <w:pPr>
        <w:pStyle w:val="7"/>
        <w:spacing w:line="560" w:lineRule="exact"/>
        <w:ind w:firstLine="643" w:firstLineChars="200"/>
        <w:jc w:val="both"/>
        <w:rPr>
          <w:rFonts w:hint="eastAsia" w:ascii="仿宋_GB2312" w:eastAsia="仿宋_GB2312"/>
          <w:sz w:val="32"/>
          <w:szCs w:val="32"/>
          <w:lang w:val="en-US"/>
        </w:rPr>
      </w:pPr>
      <w:r>
        <w:rPr>
          <w:rFonts w:ascii="仿宋_GB2312" w:eastAsia="仿宋_GB2312"/>
          <w:b/>
          <w:bCs/>
          <w:sz w:val="32"/>
          <w:szCs w:val="32"/>
          <w:lang w:val="en-US"/>
        </w:rPr>
        <w:t>第八条</w:t>
      </w:r>
      <w:r>
        <w:rPr>
          <w:rFonts w:hint="eastAsia" w:ascii="仿宋_GB2312" w:eastAsia="仿宋_GB2312"/>
          <w:b/>
          <w:bCs/>
          <w:sz w:val="32"/>
          <w:szCs w:val="32"/>
          <w:lang w:val="en-US"/>
        </w:rPr>
        <w:t xml:space="preserve">  </w:t>
      </w:r>
      <w:r>
        <w:rPr>
          <w:rFonts w:ascii="仿宋_GB2312" w:eastAsia="仿宋_GB2312"/>
          <w:sz w:val="32"/>
          <w:szCs w:val="32"/>
          <w:lang w:val="en-US"/>
        </w:rPr>
        <w:t>第二学士学位综合素质评价以学年为周期进行</w:t>
      </w:r>
      <w:r>
        <w:rPr>
          <w:rFonts w:hint="eastAsia" w:ascii="仿宋_GB2312" w:eastAsia="仿宋_GB2312"/>
          <w:sz w:val="32"/>
          <w:szCs w:val="32"/>
          <w:lang w:val="en-US"/>
        </w:rPr>
        <w:t>。</w:t>
      </w:r>
    </w:p>
    <w:p w14:paraId="5024087E">
      <w:pPr>
        <w:pStyle w:val="7"/>
        <w:spacing w:line="560" w:lineRule="exact"/>
        <w:ind w:firstLine="643" w:firstLineChars="200"/>
        <w:jc w:val="both"/>
        <w:rPr>
          <w:rFonts w:hint="eastAsia" w:ascii="仿宋_GB2312" w:eastAsia="仿宋_GB2312"/>
          <w:sz w:val="32"/>
          <w:szCs w:val="32"/>
          <w:lang w:val="en-US"/>
        </w:rPr>
      </w:pPr>
      <w:r>
        <w:rPr>
          <w:rFonts w:ascii="仿宋_GB2312" w:eastAsia="仿宋_GB2312"/>
          <w:b/>
          <w:bCs/>
          <w:sz w:val="32"/>
          <w:szCs w:val="32"/>
          <w:lang w:val="en-US"/>
        </w:rPr>
        <w:t>第九条</w:t>
      </w:r>
      <w:r>
        <w:rPr>
          <w:rFonts w:hint="eastAsia" w:ascii="仿宋_GB2312" w:eastAsia="仿宋_GB2312"/>
          <w:sz w:val="32"/>
          <w:szCs w:val="32"/>
          <w:lang w:val="en-US"/>
        </w:rPr>
        <w:t xml:space="preserve">  </w:t>
      </w:r>
      <w:r>
        <w:rPr>
          <w:rFonts w:ascii="仿宋_GB2312" w:eastAsia="仿宋_GB2312"/>
          <w:sz w:val="32"/>
          <w:szCs w:val="32"/>
          <w:lang w:val="en-US"/>
        </w:rPr>
        <w:t>第二学士学位综合素质评价主要通过</w:t>
      </w:r>
      <w:r>
        <w:rPr>
          <w:rFonts w:hint="eastAsia" w:ascii="仿宋_GB2312" w:eastAsia="仿宋_GB2312"/>
          <w:sz w:val="32"/>
          <w:szCs w:val="32"/>
          <w:lang w:val="en-US"/>
        </w:rPr>
        <w:t>学校</w:t>
      </w:r>
      <w:r>
        <w:rPr>
          <w:rFonts w:ascii="仿宋_GB2312" w:eastAsia="仿宋_GB2312"/>
          <w:sz w:val="32"/>
          <w:szCs w:val="32"/>
          <w:lang w:val="en-US"/>
        </w:rPr>
        <w:t>学生工作管理信息系统进行。</w:t>
      </w:r>
    </w:p>
    <w:p w14:paraId="11669F58">
      <w:pPr>
        <w:pStyle w:val="7"/>
        <w:spacing w:line="560" w:lineRule="exact"/>
        <w:ind w:firstLine="643" w:firstLineChars="200"/>
        <w:jc w:val="both"/>
        <w:rPr>
          <w:rFonts w:hint="eastAsia" w:ascii="仿宋_GB2312" w:eastAsia="仿宋_GB2312"/>
          <w:sz w:val="32"/>
          <w:szCs w:val="32"/>
          <w:lang w:val="en-US"/>
        </w:rPr>
      </w:pPr>
      <w:r>
        <w:rPr>
          <w:rFonts w:ascii="仿宋_GB2312" w:eastAsia="仿宋_GB2312"/>
          <w:b/>
          <w:bCs/>
          <w:sz w:val="32"/>
          <w:szCs w:val="32"/>
          <w:lang w:val="en-US"/>
        </w:rPr>
        <w:t>第十条</w:t>
      </w:r>
      <w:r>
        <w:rPr>
          <w:rFonts w:hint="eastAsia" w:ascii="仿宋_GB2312" w:eastAsia="仿宋_GB2312"/>
          <w:sz w:val="32"/>
          <w:szCs w:val="32"/>
          <w:lang w:val="en-US"/>
        </w:rPr>
        <w:t xml:space="preserve"> </w:t>
      </w:r>
      <w:r>
        <w:rPr>
          <w:rFonts w:ascii="仿宋_GB2312" w:eastAsia="仿宋_GB2312"/>
          <w:sz w:val="32"/>
          <w:szCs w:val="32"/>
          <w:lang w:val="en-US"/>
        </w:rPr>
        <w:t>学生应按照学校、</w:t>
      </w:r>
      <w:r>
        <w:rPr>
          <w:rFonts w:hint="eastAsia" w:ascii="仿宋_GB2312" w:eastAsia="仿宋_GB2312"/>
          <w:sz w:val="32"/>
          <w:szCs w:val="32"/>
          <w:lang w:val="en-US"/>
        </w:rPr>
        <w:t>校区</w:t>
      </w:r>
      <w:r>
        <w:rPr>
          <w:rFonts w:ascii="仿宋_GB2312" w:eastAsia="仿宋_GB2312"/>
          <w:sz w:val="32"/>
          <w:szCs w:val="32"/>
          <w:lang w:val="en-US"/>
        </w:rPr>
        <w:t>要求，按时完成第二学士学位综合素质评价的各项工作，对于无正当理由不按要求完成评价工作的，不得参加评价学年评奖评优。</w:t>
      </w:r>
    </w:p>
    <w:p w14:paraId="5BAB5860">
      <w:pPr>
        <w:pStyle w:val="7"/>
        <w:spacing w:line="560" w:lineRule="exact"/>
        <w:ind w:firstLine="643" w:firstLineChars="200"/>
        <w:jc w:val="both"/>
        <w:rPr>
          <w:rFonts w:hint="eastAsia" w:ascii="仿宋_GB2312" w:eastAsia="仿宋_GB2312"/>
          <w:sz w:val="32"/>
          <w:szCs w:val="32"/>
          <w:lang w:val="en-US"/>
        </w:rPr>
      </w:pPr>
      <w:r>
        <w:rPr>
          <w:rFonts w:ascii="仿宋_GB2312" w:eastAsia="仿宋_GB2312"/>
          <w:b/>
          <w:bCs/>
          <w:sz w:val="32"/>
          <w:szCs w:val="32"/>
          <w:highlight w:val="yellow"/>
          <w:lang w:val="en-US"/>
        </w:rPr>
        <w:t>第十二条</w:t>
      </w:r>
      <w:r>
        <w:rPr>
          <w:rFonts w:hint="eastAsia" w:ascii="仿宋_GB2312" w:eastAsia="仿宋_GB2312"/>
          <w:sz w:val="32"/>
          <w:szCs w:val="32"/>
          <w:highlight w:val="yellow"/>
          <w:lang w:val="en-US"/>
        </w:rPr>
        <w:t xml:space="preserve"> </w:t>
      </w:r>
      <w:r>
        <w:rPr>
          <w:rFonts w:ascii="仿宋_GB2312" w:eastAsia="仿宋_GB2312"/>
          <w:sz w:val="32"/>
          <w:szCs w:val="32"/>
          <w:highlight w:val="yellow"/>
          <w:lang w:val="en-US"/>
        </w:rPr>
        <w:t>在评价学年休学者</w:t>
      </w:r>
      <w:r>
        <w:rPr>
          <w:rFonts w:hint="eastAsia" w:ascii="仿宋_GB2312" w:eastAsia="仿宋_GB2312"/>
          <w:sz w:val="32"/>
          <w:szCs w:val="32"/>
          <w:highlight w:val="yellow"/>
          <w:lang w:val="en-US"/>
        </w:rPr>
        <w:t>可</w:t>
      </w:r>
      <w:r>
        <w:rPr>
          <w:rFonts w:ascii="仿宋_GB2312" w:eastAsia="仿宋_GB2312"/>
          <w:sz w:val="32"/>
          <w:szCs w:val="32"/>
          <w:highlight w:val="yellow"/>
          <w:lang w:val="en-US"/>
        </w:rPr>
        <w:t>不参加综合素质评价。</w:t>
      </w:r>
    </w:p>
    <w:p w14:paraId="576A3A1C">
      <w:pPr>
        <w:spacing w:line="560" w:lineRule="exact"/>
        <w:jc w:val="center"/>
        <w:rPr>
          <w:rFonts w:hint="eastAsia" w:ascii="黑体" w:hAnsi="黑体" w:eastAsia="黑体"/>
          <w:sz w:val="32"/>
          <w:szCs w:val="32"/>
        </w:rPr>
      </w:pPr>
      <w:r>
        <w:rPr>
          <w:rFonts w:ascii="黑体" w:hAnsi="黑体" w:eastAsia="黑体"/>
          <w:sz w:val="32"/>
          <w:szCs w:val="32"/>
        </w:rPr>
        <w:t>第四章</w:t>
      </w:r>
      <w:r>
        <w:rPr>
          <w:rFonts w:ascii="Calibri" w:hAnsi="Calibri" w:eastAsia="黑体" w:cs="Calibri"/>
          <w:sz w:val="32"/>
          <w:szCs w:val="32"/>
        </w:rPr>
        <w:t> </w:t>
      </w:r>
      <w:r>
        <w:rPr>
          <w:rFonts w:ascii="黑体" w:hAnsi="黑体" w:eastAsia="黑体"/>
          <w:sz w:val="32"/>
          <w:szCs w:val="32"/>
        </w:rPr>
        <w:t xml:space="preserve"> 评价结果运用</w:t>
      </w:r>
    </w:p>
    <w:p w14:paraId="214418D8">
      <w:pPr>
        <w:pStyle w:val="7"/>
        <w:spacing w:line="560" w:lineRule="exact"/>
        <w:ind w:firstLine="643" w:firstLineChars="200"/>
        <w:jc w:val="both"/>
        <w:rPr>
          <w:rFonts w:hint="eastAsia" w:ascii="仿宋_GB2312" w:eastAsia="仿宋_GB2312"/>
          <w:sz w:val="32"/>
          <w:szCs w:val="32"/>
          <w:lang w:val="en-US"/>
        </w:rPr>
      </w:pPr>
      <w:r>
        <w:rPr>
          <w:rFonts w:ascii="仿宋_GB2312" w:eastAsia="仿宋_GB2312"/>
          <w:b/>
          <w:bCs/>
          <w:sz w:val="32"/>
          <w:szCs w:val="32"/>
          <w:lang w:val="en-US"/>
        </w:rPr>
        <w:t>第十三条</w:t>
      </w:r>
      <w:r>
        <w:rPr>
          <w:rFonts w:hint="eastAsia" w:ascii="仿宋_GB2312" w:eastAsia="仿宋_GB2312"/>
          <w:sz w:val="32"/>
          <w:szCs w:val="32"/>
          <w:lang w:val="en-US"/>
        </w:rPr>
        <w:t xml:space="preserve">  </w:t>
      </w:r>
      <w:r>
        <w:rPr>
          <w:rFonts w:ascii="仿宋_GB2312" w:eastAsia="仿宋_GB2312"/>
          <w:sz w:val="32"/>
          <w:szCs w:val="32"/>
          <w:lang w:val="en-US"/>
        </w:rPr>
        <w:t>第二学士学位综合素质评价成绩载入《学年总结鉴定表》。</w:t>
      </w:r>
    </w:p>
    <w:p w14:paraId="4C79D3AF">
      <w:pPr>
        <w:pStyle w:val="7"/>
        <w:spacing w:line="560" w:lineRule="exact"/>
        <w:ind w:firstLine="643" w:firstLineChars="200"/>
        <w:jc w:val="both"/>
        <w:rPr>
          <w:rFonts w:hint="eastAsia" w:ascii="仿宋_GB2312" w:eastAsia="仿宋_GB2312"/>
          <w:sz w:val="32"/>
          <w:szCs w:val="32"/>
          <w:lang w:val="en-US"/>
        </w:rPr>
      </w:pPr>
      <w:r>
        <w:rPr>
          <w:rFonts w:ascii="仿宋_GB2312" w:eastAsia="仿宋_GB2312"/>
          <w:b/>
          <w:bCs/>
          <w:sz w:val="32"/>
          <w:szCs w:val="32"/>
          <w:lang w:val="en-US"/>
        </w:rPr>
        <w:t>第十四条</w:t>
      </w:r>
      <w:r>
        <w:rPr>
          <w:rFonts w:hint="eastAsia" w:ascii="仿宋_GB2312" w:eastAsia="仿宋_GB2312"/>
          <w:b/>
          <w:bCs/>
          <w:sz w:val="32"/>
          <w:szCs w:val="32"/>
          <w:lang w:val="en-US"/>
        </w:rPr>
        <w:t xml:space="preserve">  </w:t>
      </w:r>
      <w:r>
        <w:rPr>
          <w:rFonts w:ascii="仿宋_GB2312" w:eastAsia="仿宋_GB2312"/>
          <w:sz w:val="32"/>
          <w:szCs w:val="32"/>
          <w:lang w:val="en-US"/>
        </w:rPr>
        <w:t>第二学士学位综合素质评价成绩是第二学士学位学年评奖评优的重要依据。</w:t>
      </w:r>
    </w:p>
    <w:p w14:paraId="78BAC9C5">
      <w:pPr>
        <w:spacing w:line="560" w:lineRule="exact"/>
        <w:jc w:val="center"/>
        <w:rPr>
          <w:rFonts w:hint="eastAsia" w:ascii="黑体" w:hAnsi="黑体" w:eastAsia="黑体"/>
          <w:sz w:val="32"/>
          <w:szCs w:val="32"/>
        </w:rPr>
      </w:pPr>
      <w:r>
        <w:rPr>
          <w:rFonts w:ascii="黑体" w:hAnsi="黑体" w:eastAsia="黑体"/>
          <w:sz w:val="32"/>
          <w:szCs w:val="32"/>
        </w:rPr>
        <w:t>第五章</w:t>
      </w:r>
      <w:r>
        <w:rPr>
          <w:rFonts w:ascii="Calibri" w:hAnsi="Calibri" w:eastAsia="黑体" w:cs="Calibri"/>
          <w:sz w:val="32"/>
          <w:szCs w:val="32"/>
        </w:rPr>
        <w:t> </w:t>
      </w:r>
      <w:r>
        <w:rPr>
          <w:rFonts w:ascii="黑体" w:hAnsi="黑体" w:eastAsia="黑体"/>
          <w:sz w:val="32"/>
          <w:szCs w:val="32"/>
        </w:rPr>
        <w:t xml:space="preserve"> 附</w:t>
      </w:r>
      <w:r>
        <w:rPr>
          <w:rFonts w:ascii="Calibri" w:hAnsi="Calibri" w:eastAsia="黑体" w:cs="Calibri"/>
          <w:sz w:val="32"/>
          <w:szCs w:val="32"/>
        </w:rPr>
        <w:t> </w:t>
      </w:r>
      <w:r>
        <w:rPr>
          <w:rFonts w:ascii="黑体" w:hAnsi="黑体" w:eastAsia="黑体"/>
          <w:sz w:val="32"/>
          <w:szCs w:val="32"/>
        </w:rPr>
        <w:t xml:space="preserve"> 则</w:t>
      </w:r>
    </w:p>
    <w:p w14:paraId="30DB8BAB">
      <w:pPr>
        <w:pStyle w:val="7"/>
        <w:spacing w:line="560" w:lineRule="exact"/>
        <w:ind w:firstLine="643" w:firstLineChars="200"/>
        <w:jc w:val="both"/>
        <w:rPr>
          <w:rFonts w:hint="eastAsia" w:ascii="仿宋_GB2312" w:eastAsia="仿宋_GB2312"/>
          <w:sz w:val="32"/>
          <w:szCs w:val="32"/>
          <w:lang w:val="en-US"/>
        </w:rPr>
      </w:pPr>
      <w:r>
        <w:rPr>
          <w:rFonts w:ascii="仿宋_GB2312" w:eastAsia="仿宋_GB2312"/>
          <w:b/>
          <w:bCs/>
          <w:sz w:val="32"/>
          <w:szCs w:val="32"/>
          <w:lang w:val="en-US"/>
        </w:rPr>
        <w:t>第十五条</w:t>
      </w:r>
      <w:r>
        <w:rPr>
          <w:rFonts w:hint="eastAsia" w:ascii="仿宋_GB2312" w:eastAsia="仿宋_GB2312"/>
          <w:sz w:val="32"/>
          <w:szCs w:val="32"/>
          <w:lang w:val="en-US"/>
        </w:rPr>
        <w:t xml:space="preserve"> </w:t>
      </w:r>
      <w:r>
        <w:rPr>
          <w:rFonts w:ascii="仿宋_GB2312" w:eastAsia="仿宋_GB2312"/>
          <w:sz w:val="32"/>
          <w:szCs w:val="32"/>
          <w:lang w:val="en-US"/>
        </w:rPr>
        <w:t>本办法自公布之日起施行。</w:t>
      </w:r>
    </w:p>
    <w:p w14:paraId="1250F0E7">
      <w:pPr>
        <w:pStyle w:val="7"/>
        <w:spacing w:line="560" w:lineRule="exact"/>
        <w:ind w:firstLine="643" w:firstLineChars="200"/>
        <w:jc w:val="both"/>
        <w:rPr>
          <w:rFonts w:hint="eastAsia" w:ascii="仿宋_GB2312" w:eastAsia="仿宋_GB2312"/>
          <w:sz w:val="32"/>
          <w:szCs w:val="32"/>
          <w:lang w:val="en-US"/>
        </w:rPr>
      </w:pPr>
      <w:r>
        <w:rPr>
          <w:rFonts w:ascii="仿宋_GB2312" w:eastAsia="仿宋_GB2312"/>
          <w:b/>
          <w:bCs/>
          <w:sz w:val="32"/>
          <w:szCs w:val="32"/>
          <w:lang w:val="en-US"/>
        </w:rPr>
        <w:t>第十六条</w:t>
      </w:r>
      <w:r>
        <w:rPr>
          <w:rFonts w:hint="eastAsia" w:ascii="仿宋_GB2312" w:eastAsia="仿宋_GB2312"/>
          <w:b/>
          <w:bCs/>
          <w:sz w:val="32"/>
          <w:szCs w:val="32"/>
          <w:lang w:val="en-US"/>
        </w:rPr>
        <w:t xml:space="preserve">  </w:t>
      </w:r>
      <w:r>
        <w:rPr>
          <w:rFonts w:ascii="仿宋_GB2312" w:eastAsia="仿宋_GB2312"/>
          <w:sz w:val="32"/>
          <w:szCs w:val="32"/>
          <w:lang w:val="en-US"/>
        </w:rPr>
        <w:t>本办法由</w:t>
      </w:r>
      <w:r>
        <w:rPr>
          <w:rFonts w:hint="eastAsia" w:ascii="仿宋_GB2312" w:eastAsia="仿宋_GB2312"/>
          <w:sz w:val="32"/>
          <w:szCs w:val="32"/>
          <w:lang w:val="en-US"/>
        </w:rPr>
        <w:t>峨眉校区管委会学生管理办公室</w:t>
      </w:r>
      <w:r>
        <w:rPr>
          <w:rFonts w:hint="eastAsia" w:ascii="仿宋_GB2312" w:eastAsia="仿宋_GB2312"/>
          <w:sz w:val="32"/>
          <w:szCs w:val="32"/>
        </w:rPr>
        <w:t>负责解释</w:t>
      </w:r>
      <w:r>
        <w:rPr>
          <w:rFonts w:ascii="仿宋_GB2312" w:eastAsia="仿宋_GB2312"/>
          <w:sz w:val="32"/>
          <w:szCs w:val="32"/>
          <w:lang w:val="en-US"/>
        </w:rPr>
        <w:t>。</w:t>
      </w:r>
    </w:p>
    <w:p w14:paraId="243B73AD">
      <w:pPr>
        <w:widowControl/>
        <w:autoSpaceDE/>
        <w:autoSpaceDN/>
        <w:rPr>
          <w:rFonts w:hint="eastAsia" w:ascii="仿宋_GB2312" w:eastAsia="仿宋_GB2312"/>
          <w:b/>
          <w:bCs/>
          <w:sz w:val="32"/>
          <w:szCs w:val="32"/>
        </w:rPr>
      </w:pPr>
    </w:p>
    <w:p w14:paraId="3FF19672">
      <w:pPr>
        <w:pStyle w:val="5"/>
        <w:spacing w:before="0" w:line="560" w:lineRule="exact"/>
        <w:ind w:left="0"/>
        <w:jc w:val="both"/>
        <w:rPr>
          <w:rFonts w:hint="eastAsia" w:ascii="仿宋_GB2312" w:eastAsia="仿宋_GB2312"/>
          <w:sz w:val="32"/>
          <w:szCs w:val="32"/>
        </w:rPr>
      </w:pPr>
      <w:r>
        <w:rPr>
          <w:rFonts w:hint="eastAsia" w:ascii="仿宋_GB2312" w:eastAsia="仿宋_GB2312"/>
          <w:sz w:val="32"/>
          <w:szCs w:val="32"/>
        </w:rPr>
        <w:t>附件1：</w:t>
      </w:r>
    </w:p>
    <w:p w14:paraId="61A09F7D">
      <w:pPr>
        <w:tabs>
          <w:tab w:val="left" w:pos="1269"/>
        </w:tabs>
        <w:spacing w:before="120" w:beforeLines="50" w:after="120" w:afterLines="50" w:line="560" w:lineRule="exact"/>
        <w:jc w:val="center"/>
        <w:rPr>
          <w:rFonts w:hint="eastAsia" w:ascii="黑体" w:hAnsi="黑体" w:eastAsia="黑体"/>
          <w:b/>
          <w:sz w:val="32"/>
          <w:szCs w:val="32"/>
        </w:rPr>
      </w:pPr>
      <w:bookmarkStart w:id="2" w:name="_Hlk197509252"/>
      <w:r>
        <w:rPr>
          <w:rFonts w:hint="eastAsia" w:ascii="黑体" w:hAnsi="黑体" w:eastAsia="黑体"/>
          <w:b/>
          <w:sz w:val="32"/>
          <w:szCs w:val="32"/>
        </w:rPr>
        <w:t>第二学士学位发展性评价成绩</w:t>
      </w:r>
      <w:bookmarkEnd w:id="2"/>
      <w:r>
        <w:rPr>
          <w:rFonts w:hint="eastAsia" w:ascii="黑体" w:hAnsi="黑体" w:eastAsia="黑体"/>
          <w:b/>
          <w:sz w:val="32"/>
          <w:szCs w:val="32"/>
        </w:rPr>
        <w:t>细则</w:t>
      </w:r>
    </w:p>
    <w:p w14:paraId="6A137279">
      <w:pPr>
        <w:pStyle w:val="7"/>
        <w:spacing w:line="560" w:lineRule="exact"/>
        <w:ind w:firstLine="640" w:firstLineChars="200"/>
        <w:jc w:val="both"/>
        <w:rPr>
          <w:rFonts w:hint="eastAsia" w:ascii="仿宋_GB2312" w:eastAsia="仿宋_GB2312"/>
          <w:sz w:val="32"/>
          <w:szCs w:val="32"/>
        </w:rPr>
      </w:pPr>
      <w:bookmarkStart w:id="3" w:name="OLE_LINK15"/>
      <w:r>
        <w:rPr>
          <w:rFonts w:hint="eastAsia" w:ascii="仿宋_GB2312" w:eastAsia="仿宋_GB2312"/>
          <w:sz w:val="32"/>
          <w:szCs w:val="32"/>
        </w:rPr>
        <w:t>第二学士学位发展性评价</w:t>
      </w:r>
      <w:bookmarkEnd w:id="3"/>
      <w:r>
        <w:rPr>
          <w:rFonts w:hint="eastAsia" w:ascii="仿宋_GB2312" w:eastAsia="仿宋_GB2312"/>
          <w:sz w:val="32"/>
          <w:szCs w:val="32"/>
        </w:rPr>
        <w:t>成绩包括学科竞赛类、科研成果类、文体竞赛、学生干部类以及其他类。发展性评价成绩累加上限为3分。</w:t>
      </w:r>
    </w:p>
    <w:p w14:paraId="071B73A9">
      <w:pPr>
        <w:pStyle w:val="7"/>
        <w:spacing w:line="560" w:lineRule="exact"/>
        <w:ind w:firstLine="643" w:firstLineChars="200"/>
        <w:jc w:val="both"/>
        <w:rPr>
          <w:rFonts w:hint="eastAsia" w:ascii="仿宋_GB2312" w:eastAsia="仿宋_GB2312"/>
          <w:b/>
          <w:sz w:val="32"/>
          <w:szCs w:val="32"/>
        </w:rPr>
      </w:pPr>
      <w:r>
        <w:rPr>
          <w:rFonts w:hint="eastAsia" w:ascii="仿宋_GB2312" w:eastAsia="仿宋_GB2312"/>
          <w:b/>
          <w:color w:val="000000"/>
          <w:sz w:val="32"/>
          <w:szCs w:val="32"/>
        </w:rPr>
        <w:t>一、</w:t>
      </w:r>
      <w:r>
        <w:rPr>
          <w:rFonts w:hint="eastAsia" w:ascii="仿宋_GB2312" w:eastAsia="仿宋_GB2312"/>
          <w:b/>
          <w:sz w:val="32"/>
          <w:szCs w:val="32"/>
        </w:rPr>
        <w:t>学科竞赛类</w:t>
      </w:r>
    </w:p>
    <w:tbl>
      <w:tblPr>
        <w:tblStyle w:val="11"/>
        <w:tblW w:w="7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1212"/>
        <w:gridCol w:w="1027"/>
        <w:gridCol w:w="766"/>
        <w:gridCol w:w="856"/>
        <w:gridCol w:w="1028"/>
        <w:gridCol w:w="856"/>
        <w:gridCol w:w="1016"/>
        <w:gridCol w:w="6"/>
      </w:tblGrid>
      <w:tr w14:paraId="3A87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122" w:type="dxa"/>
            <w:gridSpan w:val="2"/>
            <w:vMerge w:val="restart"/>
            <w:vAlign w:val="center"/>
          </w:tcPr>
          <w:p w14:paraId="4330DCDB">
            <w:pPr>
              <w:spacing w:line="560" w:lineRule="exact"/>
              <w:jc w:val="both"/>
              <w:rPr>
                <w:rFonts w:hint="eastAsia" w:ascii="仿宋_GB2312" w:eastAsia="仿宋_GB2312"/>
                <w:bCs/>
                <w:sz w:val="32"/>
                <w:szCs w:val="32"/>
              </w:rPr>
            </w:pPr>
            <w:r>
              <w:rPr>
                <w:rFonts w:hint="eastAsia" w:ascii="仿宋_GB2312" w:eastAsia="仿宋_GB2312"/>
                <w:bCs/>
                <w:color w:val="000000"/>
                <w:sz w:val="32"/>
                <w:szCs w:val="32"/>
              </w:rPr>
              <w:t>加分类别</w:t>
            </w:r>
          </w:p>
        </w:tc>
        <w:tc>
          <w:tcPr>
            <w:tcW w:w="5555" w:type="dxa"/>
            <w:gridSpan w:val="7"/>
            <w:vAlign w:val="center"/>
          </w:tcPr>
          <w:p w14:paraId="44959BD2">
            <w:pPr>
              <w:spacing w:line="560" w:lineRule="exact"/>
              <w:jc w:val="both"/>
              <w:rPr>
                <w:rFonts w:hint="eastAsia" w:ascii="仿宋_GB2312" w:eastAsia="仿宋_GB2312"/>
                <w:bCs/>
                <w:sz w:val="32"/>
                <w:szCs w:val="32"/>
              </w:rPr>
            </w:pPr>
            <w:r>
              <w:rPr>
                <w:rFonts w:hint="eastAsia" w:ascii="仿宋_GB2312" w:eastAsia="仿宋_GB2312"/>
                <w:bCs/>
                <w:color w:val="000000"/>
                <w:sz w:val="32"/>
                <w:szCs w:val="32"/>
              </w:rPr>
              <w:t>加分标准</w:t>
            </w:r>
          </w:p>
        </w:tc>
      </w:tr>
      <w:tr w14:paraId="33F0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2122" w:type="dxa"/>
            <w:gridSpan w:val="2"/>
            <w:vMerge w:val="continue"/>
            <w:vAlign w:val="center"/>
          </w:tcPr>
          <w:p w14:paraId="7D632181">
            <w:pPr>
              <w:spacing w:line="560" w:lineRule="exact"/>
              <w:jc w:val="both"/>
              <w:rPr>
                <w:rFonts w:hint="eastAsia" w:ascii="仿宋_GB2312" w:eastAsia="仿宋_GB2312"/>
                <w:bCs/>
                <w:sz w:val="32"/>
                <w:szCs w:val="32"/>
              </w:rPr>
            </w:pPr>
          </w:p>
        </w:tc>
        <w:tc>
          <w:tcPr>
            <w:tcW w:w="2649" w:type="dxa"/>
            <w:gridSpan w:val="3"/>
            <w:vAlign w:val="center"/>
          </w:tcPr>
          <w:p w14:paraId="5F095C8E">
            <w:pPr>
              <w:adjustRightInd w:val="0"/>
              <w:spacing w:line="560" w:lineRule="exact"/>
              <w:jc w:val="both"/>
              <w:rPr>
                <w:rFonts w:hint="eastAsia" w:ascii="仿宋_GB2312" w:eastAsia="仿宋_GB2312"/>
                <w:bCs/>
                <w:color w:val="000000"/>
                <w:sz w:val="32"/>
                <w:szCs w:val="32"/>
              </w:rPr>
            </w:pPr>
            <w:r>
              <w:rPr>
                <w:rFonts w:hint="eastAsia" w:ascii="仿宋_GB2312" w:eastAsia="仿宋_GB2312"/>
                <w:bCs/>
                <w:color w:val="000000"/>
                <w:sz w:val="32"/>
                <w:szCs w:val="32"/>
              </w:rPr>
              <w:t>第1、2、3参与人</w:t>
            </w:r>
          </w:p>
        </w:tc>
        <w:tc>
          <w:tcPr>
            <w:tcW w:w="2900" w:type="dxa"/>
            <w:gridSpan w:val="3"/>
            <w:vAlign w:val="center"/>
          </w:tcPr>
          <w:p w14:paraId="053095D2">
            <w:pPr>
              <w:adjustRightInd w:val="0"/>
              <w:spacing w:line="560" w:lineRule="exact"/>
              <w:jc w:val="both"/>
              <w:rPr>
                <w:rFonts w:hint="eastAsia" w:ascii="仿宋_GB2312" w:eastAsia="仿宋_GB2312"/>
                <w:bCs/>
                <w:color w:val="000000"/>
                <w:sz w:val="32"/>
                <w:szCs w:val="32"/>
              </w:rPr>
            </w:pPr>
            <w:r>
              <w:rPr>
                <w:rFonts w:hint="eastAsia" w:ascii="仿宋_GB2312" w:eastAsia="仿宋_GB2312"/>
                <w:bCs/>
                <w:color w:val="000000"/>
                <w:sz w:val="32"/>
                <w:szCs w:val="32"/>
              </w:rPr>
              <w:t>第4、5参与人</w:t>
            </w:r>
          </w:p>
        </w:tc>
      </w:tr>
      <w:tr w14:paraId="2C05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734" w:hRule="atLeast"/>
          <w:jc w:val="center"/>
        </w:trPr>
        <w:tc>
          <w:tcPr>
            <w:tcW w:w="2122" w:type="dxa"/>
            <w:gridSpan w:val="2"/>
            <w:vMerge w:val="continue"/>
            <w:vAlign w:val="center"/>
          </w:tcPr>
          <w:p w14:paraId="257E6436">
            <w:pPr>
              <w:widowControl/>
              <w:adjustRightInd w:val="0"/>
              <w:spacing w:line="560" w:lineRule="exact"/>
              <w:jc w:val="both"/>
              <w:rPr>
                <w:rFonts w:hint="eastAsia" w:ascii="仿宋_GB2312" w:eastAsia="仿宋_GB2312"/>
                <w:bCs/>
                <w:sz w:val="32"/>
                <w:szCs w:val="32"/>
              </w:rPr>
            </w:pPr>
          </w:p>
        </w:tc>
        <w:tc>
          <w:tcPr>
            <w:tcW w:w="1027" w:type="dxa"/>
            <w:vAlign w:val="center"/>
          </w:tcPr>
          <w:p w14:paraId="7CD73D6F">
            <w:pPr>
              <w:adjustRightInd w:val="0"/>
              <w:spacing w:line="560" w:lineRule="exact"/>
              <w:jc w:val="both"/>
              <w:rPr>
                <w:rFonts w:hint="eastAsia" w:ascii="仿宋_GB2312" w:eastAsia="仿宋_GB2312"/>
                <w:bCs/>
                <w:color w:val="000000"/>
                <w:sz w:val="32"/>
                <w:szCs w:val="32"/>
              </w:rPr>
            </w:pPr>
            <w:r>
              <w:rPr>
                <w:rFonts w:hint="eastAsia" w:ascii="仿宋_GB2312" w:eastAsia="仿宋_GB2312"/>
                <w:bCs/>
                <w:sz w:val="32"/>
                <w:szCs w:val="32"/>
              </w:rPr>
              <w:t>一等及以上</w:t>
            </w:r>
          </w:p>
        </w:tc>
        <w:tc>
          <w:tcPr>
            <w:tcW w:w="766" w:type="dxa"/>
            <w:vAlign w:val="center"/>
          </w:tcPr>
          <w:p w14:paraId="685CD903">
            <w:pPr>
              <w:adjustRightInd w:val="0"/>
              <w:spacing w:line="560" w:lineRule="exact"/>
              <w:jc w:val="both"/>
              <w:rPr>
                <w:rFonts w:hint="eastAsia" w:ascii="仿宋_GB2312" w:eastAsia="仿宋_GB2312"/>
                <w:bCs/>
                <w:color w:val="000000"/>
                <w:sz w:val="32"/>
                <w:szCs w:val="32"/>
              </w:rPr>
            </w:pPr>
            <w:r>
              <w:rPr>
                <w:rFonts w:hint="eastAsia" w:ascii="仿宋_GB2312" w:eastAsia="仿宋_GB2312"/>
                <w:bCs/>
                <w:sz w:val="32"/>
                <w:szCs w:val="32"/>
              </w:rPr>
              <w:t>二等</w:t>
            </w:r>
          </w:p>
        </w:tc>
        <w:tc>
          <w:tcPr>
            <w:tcW w:w="856" w:type="dxa"/>
            <w:vAlign w:val="center"/>
          </w:tcPr>
          <w:p w14:paraId="4CFE3483">
            <w:pPr>
              <w:adjustRightInd w:val="0"/>
              <w:spacing w:line="560" w:lineRule="exact"/>
              <w:jc w:val="both"/>
              <w:rPr>
                <w:rFonts w:hint="eastAsia" w:ascii="仿宋_GB2312" w:eastAsia="仿宋_GB2312"/>
                <w:bCs/>
                <w:color w:val="000000"/>
                <w:sz w:val="32"/>
                <w:szCs w:val="32"/>
              </w:rPr>
            </w:pPr>
            <w:r>
              <w:rPr>
                <w:rFonts w:hint="eastAsia" w:ascii="仿宋_GB2312" w:eastAsia="仿宋_GB2312"/>
                <w:bCs/>
                <w:sz w:val="32"/>
                <w:szCs w:val="32"/>
              </w:rPr>
              <w:t>三等</w:t>
            </w:r>
          </w:p>
        </w:tc>
        <w:tc>
          <w:tcPr>
            <w:tcW w:w="1028" w:type="dxa"/>
            <w:vAlign w:val="center"/>
          </w:tcPr>
          <w:p w14:paraId="4F31590F">
            <w:pPr>
              <w:adjustRightInd w:val="0"/>
              <w:spacing w:line="560" w:lineRule="exact"/>
              <w:jc w:val="both"/>
              <w:rPr>
                <w:rFonts w:hint="eastAsia" w:ascii="仿宋_GB2312" w:eastAsia="仿宋_GB2312"/>
                <w:bCs/>
                <w:color w:val="000000"/>
                <w:sz w:val="32"/>
                <w:szCs w:val="32"/>
              </w:rPr>
            </w:pPr>
            <w:r>
              <w:rPr>
                <w:rFonts w:hint="eastAsia" w:ascii="仿宋_GB2312" w:eastAsia="仿宋_GB2312"/>
                <w:bCs/>
                <w:sz w:val="32"/>
                <w:szCs w:val="32"/>
              </w:rPr>
              <w:t>一等及以上</w:t>
            </w:r>
          </w:p>
        </w:tc>
        <w:tc>
          <w:tcPr>
            <w:tcW w:w="856" w:type="dxa"/>
            <w:vAlign w:val="center"/>
          </w:tcPr>
          <w:p w14:paraId="33327BA0">
            <w:pPr>
              <w:adjustRightInd w:val="0"/>
              <w:spacing w:line="560" w:lineRule="exact"/>
              <w:jc w:val="both"/>
              <w:rPr>
                <w:rFonts w:hint="eastAsia" w:ascii="仿宋_GB2312" w:eastAsia="仿宋_GB2312"/>
                <w:bCs/>
                <w:color w:val="000000"/>
                <w:sz w:val="32"/>
                <w:szCs w:val="32"/>
              </w:rPr>
            </w:pPr>
            <w:r>
              <w:rPr>
                <w:rFonts w:hint="eastAsia" w:ascii="仿宋_GB2312" w:eastAsia="仿宋_GB2312"/>
                <w:bCs/>
                <w:sz w:val="32"/>
                <w:szCs w:val="32"/>
              </w:rPr>
              <w:t>二等</w:t>
            </w:r>
          </w:p>
        </w:tc>
        <w:tc>
          <w:tcPr>
            <w:tcW w:w="1016" w:type="dxa"/>
            <w:vAlign w:val="center"/>
          </w:tcPr>
          <w:p w14:paraId="32BD8789">
            <w:pPr>
              <w:adjustRightInd w:val="0"/>
              <w:spacing w:line="560" w:lineRule="exact"/>
              <w:jc w:val="both"/>
              <w:rPr>
                <w:rFonts w:hint="eastAsia" w:ascii="仿宋_GB2312" w:eastAsia="仿宋_GB2312"/>
                <w:bCs/>
                <w:color w:val="000000"/>
                <w:sz w:val="32"/>
                <w:szCs w:val="32"/>
              </w:rPr>
            </w:pPr>
            <w:r>
              <w:rPr>
                <w:rFonts w:hint="eastAsia" w:ascii="仿宋_GB2312" w:eastAsia="仿宋_GB2312"/>
                <w:bCs/>
                <w:sz w:val="32"/>
                <w:szCs w:val="32"/>
              </w:rPr>
              <w:t>三等</w:t>
            </w:r>
          </w:p>
        </w:tc>
      </w:tr>
      <w:tr w14:paraId="11C2A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33" w:hRule="atLeast"/>
          <w:jc w:val="center"/>
        </w:trPr>
        <w:tc>
          <w:tcPr>
            <w:tcW w:w="910" w:type="dxa"/>
            <w:vMerge w:val="restart"/>
            <w:vAlign w:val="center"/>
          </w:tcPr>
          <w:p w14:paraId="30F5DECB">
            <w:pPr>
              <w:spacing w:line="560" w:lineRule="exact"/>
              <w:jc w:val="both"/>
              <w:rPr>
                <w:rFonts w:hint="eastAsia" w:ascii="仿宋_GB2312" w:eastAsia="仿宋_GB2312"/>
                <w:bCs/>
                <w:sz w:val="32"/>
                <w:szCs w:val="32"/>
              </w:rPr>
            </w:pPr>
            <w:r>
              <w:rPr>
                <w:rFonts w:hint="eastAsia" w:ascii="仿宋_GB2312" w:eastAsia="仿宋_GB2312"/>
                <w:bCs/>
                <w:color w:val="000000"/>
                <w:sz w:val="32"/>
                <w:szCs w:val="32"/>
              </w:rPr>
              <w:t>A类学科竞赛</w:t>
            </w:r>
          </w:p>
        </w:tc>
        <w:tc>
          <w:tcPr>
            <w:tcW w:w="1212" w:type="dxa"/>
            <w:vAlign w:val="center"/>
          </w:tcPr>
          <w:p w14:paraId="6370ECDB">
            <w:pPr>
              <w:widowControl/>
              <w:adjustRightInd w:val="0"/>
              <w:spacing w:line="560" w:lineRule="exact"/>
              <w:jc w:val="both"/>
              <w:rPr>
                <w:rFonts w:hint="eastAsia" w:ascii="仿宋_GB2312" w:eastAsia="仿宋_GB2312"/>
                <w:bCs/>
                <w:sz w:val="32"/>
                <w:szCs w:val="32"/>
              </w:rPr>
            </w:pPr>
            <w:r>
              <w:rPr>
                <w:rFonts w:hint="eastAsia" w:ascii="仿宋_GB2312" w:eastAsia="仿宋_GB2312"/>
                <w:bCs/>
                <w:color w:val="000000"/>
                <w:sz w:val="32"/>
                <w:szCs w:val="32"/>
              </w:rPr>
              <w:t>国家级</w:t>
            </w:r>
          </w:p>
        </w:tc>
        <w:tc>
          <w:tcPr>
            <w:tcW w:w="1027" w:type="dxa"/>
            <w:vAlign w:val="center"/>
          </w:tcPr>
          <w:p w14:paraId="7E3B88F6">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3</w:t>
            </w:r>
          </w:p>
        </w:tc>
        <w:tc>
          <w:tcPr>
            <w:tcW w:w="766" w:type="dxa"/>
            <w:vAlign w:val="center"/>
          </w:tcPr>
          <w:p w14:paraId="4D024BCA">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2</w:t>
            </w:r>
          </w:p>
        </w:tc>
        <w:tc>
          <w:tcPr>
            <w:tcW w:w="856" w:type="dxa"/>
            <w:vAlign w:val="center"/>
          </w:tcPr>
          <w:p w14:paraId="6C225920">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1</w:t>
            </w:r>
          </w:p>
        </w:tc>
        <w:tc>
          <w:tcPr>
            <w:tcW w:w="1028" w:type="dxa"/>
            <w:vAlign w:val="center"/>
          </w:tcPr>
          <w:p w14:paraId="7CC20B2B">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1.5</w:t>
            </w:r>
          </w:p>
        </w:tc>
        <w:tc>
          <w:tcPr>
            <w:tcW w:w="856" w:type="dxa"/>
            <w:vAlign w:val="center"/>
          </w:tcPr>
          <w:p w14:paraId="3B337C37">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1</w:t>
            </w:r>
          </w:p>
        </w:tc>
        <w:tc>
          <w:tcPr>
            <w:tcW w:w="1016" w:type="dxa"/>
            <w:vAlign w:val="center"/>
          </w:tcPr>
          <w:p w14:paraId="41310CBE">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0.5</w:t>
            </w:r>
          </w:p>
        </w:tc>
      </w:tr>
      <w:tr w14:paraId="77B4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48" w:hRule="atLeast"/>
          <w:jc w:val="center"/>
        </w:trPr>
        <w:tc>
          <w:tcPr>
            <w:tcW w:w="910" w:type="dxa"/>
            <w:vMerge w:val="continue"/>
            <w:vAlign w:val="center"/>
          </w:tcPr>
          <w:p w14:paraId="73D2506E">
            <w:pPr>
              <w:spacing w:line="560" w:lineRule="exact"/>
              <w:jc w:val="both"/>
              <w:rPr>
                <w:rFonts w:hint="eastAsia" w:ascii="仿宋_GB2312" w:eastAsia="仿宋_GB2312"/>
                <w:bCs/>
                <w:sz w:val="32"/>
                <w:szCs w:val="32"/>
              </w:rPr>
            </w:pPr>
          </w:p>
        </w:tc>
        <w:tc>
          <w:tcPr>
            <w:tcW w:w="1212" w:type="dxa"/>
            <w:vAlign w:val="center"/>
          </w:tcPr>
          <w:p w14:paraId="6664803F">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省级</w:t>
            </w:r>
          </w:p>
        </w:tc>
        <w:tc>
          <w:tcPr>
            <w:tcW w:w="1027" w:type="dxa"/>
            <w:vAlign w:val="center"/>
          </w:tcPr>
          <w:p w14:paraId="3898ED7E">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1</w:t>
            </w:r>
          </w:p>
        </w:tc>
        <w:tc>
          <w:tcPr>
            <w:tcW w:w="766" w:type="dxa"/>
            <w:vAlign w:val="center"/>
          </w:tcPr>
          <w:p w14:paraId="5DDBD73C">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0.8</w:t>
            </w:r>
          </w:p>
        </w:tc>
        <w:tc>
          <w:tcPr>
            <w:tcW w:w="856" w:type="dxa"/>
            <w:vAlign w:val="center"/>
          </w:tcPr>
          <w:p w14:paraId="55DCF82E">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0.5</w:t>
            </w:r>
          </w:p>
        </w:tc>
        <w:tc>
          <w:tcPr>
            <w:tcW w:w="1028" w:type="dxa"/>
            <w:vAlign w:val="center"/>
          </w:tcPr>
          <w:p w14:paraId="1929DF52">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0.5</w:t>
            </w:r>
          </w:p>
        </w:tc>
        <w:tc>
          <w:tcPr>
            <w:tcW w:w="856" w:type="dxa"/>
            <w:vAlign w:val="center"/>
          </w:tcPr>
          <w:p w14:paraId="766901C3">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0.4</w:t>
            </w:r>
          </w:p>
        </w:tc>
        <w:tc>
          <w:tcPr>
            <w:tcW w:w="1016" w:type="dxa"/>
            <w:vAlign w:val="center"/>
          </w:tcPr>
          <w:p w14:paraId="35757FCA">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0.25</w:t>
            </w:r>
          </w:p>
        </w:tc>
      </w:tr>
      <w:tr w14:paraId="0B6A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48" w:hRule="atLeast"/>
          <w:jc w:val="center"/>
        </w:trPr>
        <w:tc>
          <w:tcPr>
            <w:tcW w:w="910" w:type="dxa"/>
            <w:vMerge w:val="restart"/>
            <w:vAlign w:val="center"/>
          </w:tcPr>
          <w:p w14:paraId="76C68986">
            <w:pPr>
              <w:spacing w:line="560" w:lineRule="exact"/>
              <w:jc w:val="both"/>
              <w:rPr>
                <w:rFonts w:hint="eastAsia" w:ascii="仿宋_GB2312" w:eastAsia="仿宋_GB2312"/>
                <w:bCs/>
                <w:sz w:val="32"/>
                <w:szCs w:val="32"/>
              </w:rPr>
            </w:pPr>
            <w:r>
              <w:rPr>
                <w:rFonts w:hint="eastAsia" w:ascii="仿宋_GB2312" w:eastAsia="仿宋_GB2312"/>
                <w:bCs/>
                <w:sz w:val="32"/>
                <w:szCs w:val="32"/>
              </w:rPr>
              <w:t>其他学科竞赛</w:t>
            </w:r>
          </w:p>
        </w:tc>
        <w:tc>
          <w:tcPr>
            <w:tcW w:w="1212" w:type="dxa"/>
            <w:vAlign w:val="center"/>
          </w:tcPr>
          <w:p w14:paraId="3996BE3C">
            <w:pPr>
              <w:widowControl/>
              <w:adjustRightInd w:val="0"/>
              <w:spacing w:line="560" w:lineRule="exact"/>
              <w:jc w:val="both"/>
              <w:rPr>
                <w:rFonts w:hint="eastAsia" w:ascii="仿宋_GB2312" w:eastAsia="仿宋_GB2312"/>
                <w:bCs/>
                <w:sz w:val="32"/>
                <w:szCs w:val="32"/>
              </w:rPr>
            </w:pPr>
            <w:r>
              <w:rPr>
                <w:rFonts w:hint="eastAsia" w:ascii="仿宋_GB2312" w:eastAsia="仿宋_GB2312"/>
                <w:bCs/>
                <w:color w:val="000000"/>
                <w:sz w:val="32"/>
                <w:szCs w:val="32"/>
              </w:rPr>
              <w:t>全国性</w:t>
            </w:r>
          </w:p>
        </w:tc>
        <w:tc>
          <w:tcPr>
            <w:tcW w:w="1027" w:type="dxa"/>
            <w:vAlign w:val="center"/>
          </w:tcPr>
          <w:p w14:paraId="670CD4A4">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1</w:t>
            </w:r>
          </w:p>
        </w:tc>
        <w:tc>
          <w:tcPr>
            <w:tcW w:w="766" w:type="dxa"/>
            <w:vAlign w:val="center"/>
          </w:tcPr>
          <w:p w14:paraId="72469767">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0.8</w:t>
            </w:r>
          </w:p>
        </w:tc>
        <w:tc>
          <w:tcPr>
            <w:tcW w:w="856" w:type="dxa"/>
            <w:vAlign w:val="center"/>
          </w:tcPr>
          <w:p w14:paraId="192B45FA">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0.5</w:t>
            </w:r>
          </w:p>
        </w:tc>
        <w:tc>
          <w:tcPr>
            <w:tcW w:w="1028" w:type="dxa"/>
            <w:vAlign w:val="center"/>
          </w:tcPr>
          <w:p w14:paraId="2C284F87">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0.5</w:t>
            </w:r>
          </w:p>
        </w:tc>
        <w:tc>
          <w:tcPr>
            <w:tcW w:w="856" w:type="dxa"/>
            <w:vAlign w:val="center"/>
          </w:tcPr>
          <w:p w14:paraId="217FC15E">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0.4</w:t>
            </w:r>
          </w:p>
        </w:tc>
        <w:tc>
          <w:tcPr>
            <w:tcW w:w="1016" w:type="dxa"/>
            <w:vAlign w:val="center"/>
          </w:tcPr>
          <w:p w14:paraId="3D29E606">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0.25</w:t>
            </w:r>
          </w:p>
        </w:tc>
      </w:tr>
      <w:tr w14:paraId="0890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60" w:hRule="atLeast"/>
          <w:jc w:val="center"/>
        </w:trPr>
        <w:tc>
          <w:tcPr>
            <w:tcW w:w="910" w:type="dxa"/>
            <w:vMerge w:val="continue"/>
            <w:vAlign w:val="center"/>
          </w:tcPr>
          <w:p w14:paraId="0A2B7161">
            <w:pPr>
              <w:spacing w:line="560" w:lineRule="exact"/>
              <w:jc w:val="both"/>
              <w:rPr>
                <w:rFonts w:hint="eastAsia" w:ascii="仿宋_GB2312" w:eastAsia="仿宋_GB2312"/>
                <w:bCs/>
                <w:sz w:val="32"/>
                <w:szCs w:val="32"/>
              </w:rPr>
            </w:pPr>
          </w:p>
        </w:tc>
        <w:tc>
          <w:tcPr>
            <w:tcW w:w="1212" w:type="dxa"/>
            <w:vAlign w:val="center"/>
          </w:tcPr>
          <w:p w14:paraId="5A4D3C5F">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省级、片区性</w:t>
            </w:r>
          </w:p>
        </w:tc>
        <w:tc>
          <w:tcPr>
            <w:tcW w:w="1027" w:type="dxa"/>
            <w:vAlign w:val="center"/>
          </w:tcPr>
          <w:p w14:paraId="6011DFE0">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0.4</w:t>
            </w:r>
          </w:p>
        </w:tc>
        <w:tc>
          <w:tcPr>
            <w:tcW w:w="766" w:type="dxa"/>
            <w:vAlign w:val="center"/>
          </w:tcPr>
          <w:p w14:paraId="28C68CA3">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0.3</w:t>
            </w:r>
          </w:p>
        </w:tc>
        <w:tc>
          <w:tcPr>
            <w:tcW w:w="856" w:type="dxa"/>
            <w:vAlign w:val="center"/>
          </w:tcPr>
          <w:p w14:paraId="640E1125">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0.2</w:t>
            </w:r>
          </w:p>
        </w:tc>
        <w:tc>
          <w:tcPr>
            <w:tcW w:w="1028" w:type="dxa"/>
            <w:vAlign w:val="center"/>
          </w:tcPr>
          <w:p w14:paraId="0AB4A0AC">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0.2</w:t>
            </w:r>
          </w:p>
        </w:tc>
        <w:tc>
          <w:tcPr>
            <w:tcW w:w="856" w:type="dxa"/>
            <w:vAlign w:val="center"/>
          </w:tcPr>
          <w:p w14:paraId="4E848CFF">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0.15</w:t>
            </w:r>
          </w:p>
        </w:tc>
        <w:tc>
          <w:tcPr>
            <w:tcW w:w="1016" w:type="dxa"/>
            <w:vAlign w:val="center"/>
          </w:tcPr>
          <w:p w14:paraId="4E21FA69">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0.1</w:t>
            </w:r>
          </w:p>
        </w:tc>
      </w:tr>
      <w:tr w14:paraId="3910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48" w:hRule="atLeast"/>
          <w:jc w:val="center"/>
        </w:trPr>
        <w:tc>
          <w:tcPr>
            <w:tcW w:w="910" w:type="dxa"/>
            <w:vMerge w:val="continue"/>
            <w:vAlign w:val="center"/>
          </w:tcPr>
          <w:p w14:paraId="2A3C3A54">
            <w:pPr>
              <w:spacing w:line="560" w:lineRule="exact"/>
              <w:jc w:val="both"/>
              <w:rPr>
                <w:rFonts w:hint="eastAsia" w:ascii="仿宋_GB2312" w:eastAsia="仿宋_GB2312"/>
                <w:bCs/>
                <w:sz w:val="32"/>
                <w:szCs w:val="32"/>
              </w:rPr>
            </w:pPr>
          </w:p>
        </w:tc>
        <w:tc>
          <w:tcPr>
            <w:tcW w:w="1212" w:type="dxa"/>
            <w:vAlign w:val="center"/>
          </w:tcPr>
          <w:p w14:paraId="63966FB2">
            <w:pPr>
              <w:widowControl/>
              <w:adjustRightInd w:val="0"/>
              <w:spacing w:line="560" w:lineRule="exact"/>
              <w:ind w:firstLine="105"/>
              <w:jc w:val="both"/>
              <w:rPr>
                <w:rFonts w:hint="eastAsia" w:ascii="仿宋_GB2312" w:eastAsia="仿宋_GB2312"/>
                <w:bCs/>
                <w:sz w:val="32"/>
                <w:szCs w:val="32"/>
              </w:rPr>
            </w:pPr>
            <w:r>
              <w:rPr>
                <w:rFonts w:hint="eastAsia" w:ascii="仿宋_GB2312" w:eastAsia="仿宋_GB2312"/>
                <w:bCs/>
                <w:sz w:val="32"/>
                <w:szCs w:val="32"/>
              </w:rPr>
              <w:t>校级</w:t>
            </w:r>
          </w:p>
        </w:tc>
        <w:tc>
          <w:tcPr>
            <w:tcW w:w="1027" w:type="dxa"/>
            <w:vAlign w:val="center"/>
          </w:tcPr>
          <w:p w14:paraId="1D47EEEF">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0.15</w:t>
            </w:r>
          </w:p>
        </w:tc>
        <w:tc>
          <w:tcPr>
            <w:tcW w:w="766" w:type="dxa"/>
            <w:vAlign w:val="center"/>
          </w:tcPr>
          <w:p w14:paraId="6BA6168C">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0.1</w:t>
            </w:r>
          </w:p>
        </w:tc>
        <w:tc>
          <w:tcPr>
            <w:tcW w:w="856" w:type="dxa"/>
            <w:vAlign w:val="center"/>
          </w:tcPr>
          <w:p w14:paraId="5DBBDCE3">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0.05</w:t>
            </w:r>
          </w:p>
        </w:tc>
        <w:tc>
          <w:tcPr>
            <w:tcW w:w="1028" w:type="dxa"/>
            <w:vAlign w:val="center"/>
          </w:tcPr>
          <w:p w14:paraId="0B15DD30">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0.075</w:t>
            </w:r>
          </w:p>
        </w:tc>
        <w:tc>
          <w:tcPr>
            <w:tcW w:w="856" w:type="dxa"/>
            <w:vAlign w:val="center"/>
          </w:tcPr>
          <w:p w14:paraId="60D3436A">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0.05</w:t>
            </w:r>
          </w:p>
        </w:tc>
        <w:tc>
          <w:tcPr>
            <w:tcW w:w="1016" w:type="dxa"/>
            <w:vAlign w:val="center"/>
          </w:tcPr>
          <w:p w14:paraId="23CE3691">
            <w:pPr>
              <w:widowControl/>
              <w:adjustRightInd w:val="0"/>
              <w:spacing w:line="560" w:lineRule="exact"/>
              <w:jc w:val="both"/>
              <w:rPr>
                <w:rFonts w:hint="eastAsia" w:ascii="仿宋_GB2312" w:eastAsia="仿宋_GB2312"/>
                <w:bCs/>
                <w:sz w:val="32"/>
                <w:szCs w:val="32"/>
              </w:rPr>
            </w:pPr>
            <w:r>
              <w:rPr>
                <w:rFonts w:hint="eastAsia" w:ascii="仿宋_GB2312" w:eastAsia="仿宋_GB2312"/>
                <w:bCs/>
                <w:sz w:val="32"/>
                <w:szCs w:val="32"/>
              </w:rPr>
              <w:t>0.025</w:t>
            </w:r>
          </w:p>
        </w:tc>
      </w:tr>
    </w:tbl>
    <w:p w14:paraId="3897DB5D">
      <w:pPr>
        <w:adjustRightInd w:val="0"/>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（一）西南交通大学为参加学科竞赛获奖的第一院校，方可认定加分。</w:t>
      </w:r>
    </w:p>
    <w:p w14:paraId="34C763A4">
      <w:pPr>
        <w:adjustRightInd w:val="0"/>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（二）同类学科竞赛获奖加分不重复计算，取最高获奖等级。同一项目（作品）参加不同类别竞赛获奖加分不重复计算，取最高获奖等级。学科竞赛累积加分不超过3分。</w:t>
      </w:r>
    </w:p>
    <w:p w14:paraId="604650C9">
      <w:pPr>
        <w:adjustRightInd w:val="0"/>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（三）</w:t>
      </w:r>
      <w:bookmarkStart w:id="4" w:name="OLE_LINK14"/>
      <w:r>
        <w:rPr>
          <w:rFonts w:hint="eastAsia" w:ascii="仿宋_GB2312" w:eastAsia="仿宋_GB2312"/>
          <w:sz w:val="32"/>
          <w:szCs w:val="32"/>
        </w:rPr>
        <w:t>A类学科竞赛目录</w:t>
      </w:r>
      <w:bookmarkEnd w:id="4"/>
      <w:r>
        <w:rPr>
          <w:rFonts w:hint="eastAsia" w:ascii="仿宋_GB2312" w:eastAsia="仿宋_GB2312"/>
          <w:sz w:val="32"/>
          <w:szCs w:val="32"/>
        </w:rPr>
        <w:t>以当年本科生院公布的目录为准。其他学科竞赛是指A类学科竞赛目录以外由各专业教学指导委员会等相关部门主办的各类学科竞赛，文艺、体育及其他社会类竞赛不能作为其他学科竞赛加分。</w:t>
      </w:r>
    </w:p>
    <w:p w14:paraId="0496106E">
      <w:pPr>
        <w:adjustRightInd w:val="0"/>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（四）参赛报名顺序的认定依据“三确认原则”即获奖证书、指导老师、参赛队员三者同时确认。</w:t>
      </w:r>
    </w:p>
    <w:p w14:paraId="0C010489">
      <w:pPr>
        <w:adjustRightInd w:val="0"/>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（五）国际赛事参照执行，但不得低于国内赛事相关要求。</w:t>
      </w:r>
    </w:p>
    <w:p w14:paraId="1E17B491">
      <w:pPr>
        <w:adjustRightInd w:val="0"/>
        <w:spacing w:line="560" w:lineRule="exact"/>
        <w:ind w:firstLine="643" w:firstLineChars="200"/>
        <w:jc w:val="both"/>
        <w:rPr>
          <w:rFonts w:hint="eastAsia" w:ascii="仿宋_GB2312" w:eastAsia="仿宋_GB2312"/>
          <w:b/>
          <w:sz w:val="32"/>
          <w:szCs w:val="32"/>
        </w:rPr>
      </w:pPr>
      <w:r>
        <w:rPr>
          <w:rFonts w:hint="eastAsia" w:ascii="仿宋_GB2312" w:eastAsia="仿宋_GB2312"/>
          <w:b/>
          <w:color w:val="000000"/>
          <w:sz w:val="32"/>
          <w:szCs w:val="32"/>
        </w:rPr>
        <w:t>二、</w:t>
      </w:r>
      <w:bookmarkStart w:id="5" w:name="OLE_LINK9"/>
      <w:r>
        <w:rPr>
          <w:rFonts w:hint="eastAsia" w:ascii="仿宋_GB2312" w:eastAsia="仿宋_GB2312"/>
          <w:b/>
          <w:sz w:val="32"/>
          <w:szCs w:val="32"/>
        </w:rPr>
        <w:t>科研成果类</w:t>
      </w:r>
      <w:bookmarkEnd w:id="5"/>
    </w:p>
    <w:tbl>
      <w:tblPr>
        <w:tblStyle w:val="11"/>
        <w:tblW w:w="70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5049"/>
      </w:tblGrid>
      <w:tr w14:paraId="3CA41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980" w:type="dxa"/>
            <w:vAlign w:val="center"/>
          </w:tcPr>
          <w:p w14:paraId="0E76EC61">
            <w:pPr>
              <w:widowControl/>
              <w:adjustRightInd w:val="0"/>
              <w:spacing w:line="560" w:lineRule="exact"/>
              <w:jc w:val="both"/>
              <w:rPr>
                <w:rFonts w:hint="eastAsia" w:ascii="仿宋_GB2312" w:eastAsia="仿宋_GB2312"/>
                <w:color w:val="000000"/>
                <w:sz w:val="32"/>
                <w:szCs w:val="32"/>
              </w:rPr>
            </w:pPr>
            <w:r>
              <w:rPr>
                <w:rFonts w:hint="eastAsia" w:ascii="仿宋_GB2312" w:eastAsia="仿宋_GB2312"/>
                <w:color w:val="000000"/>
                <w:sz w:val="32"/>
                <w:szCs w:val="32"/>
              </w:rPr>
              <w:t>加分类别</w:t>
            </w:r>
          </w:p>
        </w:tc>
        <w:tc>
          <w:tcPr>
            <w:tcW w:w="5049" w:type="dxa"/>
            <w:vAlign w:val="center"/>
          </w:tcPr>
          <w:p w14:paraId="03570694">
            <w:pPr>
              <w:widowControl/>
              <w:adjustRightInd w:val="0"/>
              <w:spacing w:line="560" w:lineRule="exact"/>
              <w:jc w:val="both"/>
              <w:rPr>
                <w:rFonts w:hint="eastAsia" w:ascii="仿宋_GB2312" w:eastAsia="仿宋_GB2312"/>
                <w:color w:val="000000"/>
                <w:sz w:val="32"/>
                <w:szCs w:val="32"/>
              </w:rPr>
            </w:pPr>
            <w:r>
              <w:rPr>
                <w:rFonts w:hint="eastAsia" w:ascii="仿宋_GB2312" w:eastAsia="仿宋_GB2312"/>
                <w:color w:val="000000"/>
                <w:sz w:val="32"/>
                <w:szCs w:val="32"/>
              </w:rPr>
              <w:t>加分标准</w:t>
            </w:r>
          </w:p>
        </w:tc>
      </w:tr>
      <w:tr w14:paraId="3D02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0" w:type="dxa"/>
            <w:vMerge w:val="restart"/>
            <w:vAlign w:val="center"/>
          </w:tcPr>
          <w:p w14:paraId="7F287554">
            <w:pPr>
              <w:widowControl/>
              <w:adjustRightInd w:val="0"/>
              <w:spacing w:line="560" w:lineRule="exact"/>
              <w:jc w:val="both"/>
              <w:rPr>
                <w:rFonts w:hint="eastAsia" w:ascii="仿宋_GB2312" w:eastAsia="仿宋_GB2312"/>
                <w:color w:val="000000"/>
                <w:sz w:val="32"/>
                <w:szCs w:val="32"/>
              </w:rPr>
            </w:pPr>
            <w:r>
              <w:rPr>
                <w:rFonts w:hint="eastAsia" w:ascii="仿宋_GB2312" w:eastAsia="仿宋_GB2312"/>
                <w:color w:val="000000"/>
                <w:sz w:val="32"/>
                <w:szCs w:val="32"/>
              </w:rPr>
              <w:t>科研论文</w:t>
            </w:r>
          </w:p>
        </w:tc>
        <w:tc>
          <w:tcPr>
            <w:tcW w:w="5049" w:type="dxa"/>
          </w:tcPr>
          <w:p w14:paraId="4E2A04B0">
            <w:pPr>
              <w:spacing w:line="560" w:lineRule="exact"/>
              <w:jc w:val="both"/>
              <w:rPr>
                <w:rFonts w:hint="eastAsia" w:ascii="仿宋_GB2312" w:eastAsia="仿宋_GB2312"/>
                <w:sz w:val="32"/>
                <w:szCs w:val="32"/>
              </w:rPr>
            </w:pPr>
            <w:r>
              <w:rPr>
                <w:rFonts w:hint="eastAsia" w:ascii="仿宋_GB2312" w:eastAsia="仿宋_GB2312"/>
                <w:sz w:val="32"/>
                <w:szCs w:val="32"/>
              </w:rPr>
              <w:t>被SSCI、SCI、EI、CSSCI正刊收录：1分/篇</w:t>
            </w:r>
          </w:p>
        </w:tc>
      </w:tr>
      <w:tr w14:paraId="62F3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0" w:type="dxa"/>
            <w:vMerge w:val="continue"/>
            <w:vAlign w:val="center"/>
          </w:tcPr>
          <w:p w14:paraId="28D1D3FD">
            <w:pPr>
              <w:spacing w:line="560" w:lineRule="exact"/>
              <w:jc w:val="both"/>
              <w:rPr>
                <w:rFonts w:hint="eastAsia" w:ascii="仿宋_GB2312" w:eastAsia="仿宋_GB2312"/>
                <w:sz w:val="32"/>
                <w:szCs w:val="32"/>
              </w:rPr>
            </w:pPr>
          </w:p>
        </w:tc>
        <w:tc>
          <w:tcPr>
            <w:tcW w:w="5049" w:type="dxa"/>
          </w:tcPr>
          <w:p w14:paraId="14BE4896">
            <w:pPr>
              <w:spacing w:line="560" w:lineRule="exact"/>
              <w:jc w:val="both"/>
              <w:rPr>
                <w:rFonts w:hint="eastAsia" w:ascii="仿宋_GB2312" w:eastAsia="仿宋_GB2312"/>
                <w:sz w:val="32"/>
                <w:szCs w:val="32"/>
              </w:rPr>
            </w:pPr>
            <w:r>
              <w:rPr>
                <w:rFonts w:hint="eastAsia" w:ascii="仿宋_GB2312" w:eastAsia="仿宋_GB2312"/>
                <w:sz w:val="32"/>
                <w:szCs w:val="32"/>
              </w:rPr>
              <w:t>国内核心期刊发表学术论文：0.5分/篇</w:t>
            </w:r>
          </w:p>
        </w:tc>
      </w:tr>
      <w:tr w14:paraId="163D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980" w:type="dxa"/>
            <w:vAlign w:val="center"/>
          </w:tcPr>
          <w:p w14:paraId="2BF97F7C">
            <w:pPr>
              <w:widowControl/>
              <w:adjustRightInd w:val="0"/>
              <w:spacing w:line="560" w:lineRule="exact"/>
              <w:ind w:firstLine="105"/>
              <w:jc w:val="both"/>
              <w:rPr>
                <w:rFonts w:hint="eastAsia" w:ascii="仿宋_GB2312" w:eastAsia="仿宋_GB2312"/>
                <w:sz w:val="32"/>
                <w:szCs w:val="32"/>
              </w:rPr>
            </w:pPr>
            <w:r>
              <w:rPr>
                <w:rFonts w:hint="eastAsia" w:ascii="仿宋_GB2312" w:eastAsia="仿宋_GB2312"/>
                <w:sz w:val="32"/>
                <w:szCs w:val="32"/>
              </w:rPr>
              <w:t>发明专利</w:t>
            </w:r>
          </w:p>
        </w:tc>
        <w:tc>
          <w:tcPr>
            <w:tcW w:w="5049" w:type="dxa"/>
          </w:tcPr>
          <w:p w14:paraId="1D9C74E4">
            <w:pPr>
              <w:spacing w:line="560" w:lineRule="exact"/>
              <w:jc w:val="both"/>
              <w:rPr>
                <w:rFonts w:hint="eastAsia" w:ascii="仿宋_GB2312" w:eastAsia="仿宋_GB2312"/>
                <w:sz w:val="32"/>
                <w:szCs w:val="32"/>
              </w:rPr>
            </w:pPr>
            <w:r>
              <w:rPr>
                <w:rFonts w:hint="eastAsia" w:ascii="仿宋_GB2312" w:eastAsia="仿宋_GB2312"/>
                <w:sz w:val="32"/>
                <w:szCs w:val="32"/>
              </w:rPr>
              <w:t>1分/项</w:t>
            </w:r>
          </w:p>
        </w:tc>
      </w:tr>
    </w:tbl>
    <w:p w14:paraId="21F12E91">
      <w:pPr>
        <w:adjustRightInd w:val="0"/>
        <w:spacing w:before="120" w:beforeLines="50" w:line="560" w:lineRule="exact"/>
        <w:ind w:firstLine="640" w:firstLineChars="200"/>
        <w:jc w:val="both"/>
        <w:rPr>
          <w:rFonts w:hint="eastAsia" w:ascii="仿宋_GB2312" w:eastAsia="仿宋_GB2312"/>
          <w:bCs/>
          <w:color w:val="000000"/>
          <w:sz w:val="32"/>
          <w:szCs w:val="32"/>
        </w:rPr>
      </w:pPr>
      <w:r>
        <w:rPr>
          <w:rFonts w:hint="eastAsia" w:ascii="仿宋_GB2312" w:eastAsia="仿宋_GB2312"/>
          <w:sz w:val="32"/>
          <w:szCs w:val="32"/>
        </w:rPr>
        <w:t>（一）</w:t>
      </w:r>
      <w:r>
        <w:rPr>
          <w:rFonts w:hint="eastAsia" w:ascii="仿宋_GB2312" w:eastAsia="仿宋_GB2312"/>
          <w:bCs/>
          <w:color w:val="000000"/>
          <w:sz w:val="32"/>
          <w:szCs w:val="32"/>
        </w:rPr>
        <w:t>科研论文相关要求</w:t>
      </w:r>
    </w:p>
    <w:p w14:paraId="3C942A39">
      <w:pPr>
        <w:adjustRightInd w:val="0"/>
        <w:spacing w:line="560" w:lineRule="exact"/>
        <w:ind w:firstLine="640" w:firstLineChars="200"/>
        <w:jc w:val="both"/>
        <w:rPr>
          <w:rFonts w:hint="eastAsia" w:ascii="仿宋_GB2312" w:eastAsia="仿宋_GB2312"/>
          <w:sz w:val="32"/>
          <w:szCs w:val="32"/>
        </w:rPr>
      </w:pPr>
      <w:r>
        <w:rPr>
          <w:rFonts w:hint="eastAsia" w:ascii="仿宋_GB2312" w:eastAsia="仿宋_GB2312"/>
          <w:bCs/>
          <w:color w:val="000000"/>
          <w:sz w:val="32"/>
          <w:szCs w:val="32"/>
        </w:rPr>
        <w:t>1.</w:t>
      </w:r>
      <w:r>
        <w:rPr>
          <w:rFonts w:hint="eastAsia" w:ascii="仿宋_GB2312" w:eastAsia="仿宋_GB2312"/>
          <w:sz w:val="32"/>
          <w:szCs w:val="32"/>
        </w:rPr>
        <w:t>要求学生为论文第一作者，作者所在单位为西南交通大学，</w:t>
      </w:r>
      <w:r>
        <w:rPr>
          <w:rFonts w:hint="eastAsia" w:ascii="仿宋_GB2312" w:eastAsia="仿宋_GB2312"/>
          <w:bCs/>
          <w:color w:val="000000"/>
          <w:sz w:val="32"/>
          <w:szCs w:val="32"/>
        </w:rPr>
        <w:t>科研论文</w:t>
      </w:r>
      <w:r>
        <w:rPr>
          <w:rFonts w:hint="eastAsia" w:ascii="仿宋_GB2312" w:eastAsia="仿宋_GB2312"/>
          <w:color w:val="000000"/>
          <w:sz w:val="32"/>
          <w:szCs w:val="32"/>
        </w:rPr>
        <w:t>应与本专业领域相关</w:t>
      </w:r>
      <w:r>
        <w:rPr>
          <w:rFonts w:hint="eastAsia" w:ascii="仿宋_GB2312" w:eastAsia="仿宋_GB2312"/>
          <w:sz w:val="32"/>
          <w:szCs w:val="32"/>
        </w:rPr>
        <w:t>。</w:t>
      </w:r>
    </w:p>
    <w:p w14:paraId="1B24935E">
      <w:pPr>
        <w:adjustRightInd w:val="0"/>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2.论文的共同第一作者加分标准为该论文加分标准除以共同第一作者人数。</w:t>
      </w:r>
    </w:p>
    <w:p w14:paraId="65363BA3">
      <w:pPr>
        <w:adjustRightInd w:val="0"/>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3.核心期刊的认定参考中国科技论文统计源期刊目录。</w:t>
      </w:r>
    </w:p>
    <w:p w14:paraId="6C9AC8C9">
      <w:pPr>
        <w:adjustRightInd w:val="0"/>
        <w:spacing w:line="560" w:lineRule="exact"/>
        <w:ind w:firstLine="640" w:firstLineChars="200"/>
        <w:jc w:val="both"/>
        <w:rPr>
          <w:rFonts w:hint="eastAsia" w:ascii="仿宋_GB2312" w:eastAsia="仿宋_GB2312"/>
          <w:bCs/>
          <w:color w:val="000000"/>
          <w:sz w:val="32"/>
          <w:szCs w:val="32"/>
        </w:rPr>
      </w:pPr>
      <w:r>
        <w:rPr>
          <w:rFonts w:hint="eastAsia" w:ascii="仿宋_GB2312" w:eastAsia="仿宋_GB2312"/>
          <w:sz w:val="32"/>
          <w:szCs w:val="32"/>
        </w:rPr>
        <w:t>（二）发明</w:t>
      </w:r>
      <w:r>
        <w:rPr>
          <w:rFonts w:hint="eastAsia" w:ascii="仿宋_GB2312" w:eastAsia="仿宋_GB2312"/>
          <w:color w:val="000000"/>
          <w:sz w:val="32"/>
          <w:szCs w:val="32"/>
        </w:rPr>
        <w:t>专利</w:t>
      </w:r>
      <w:r>
        <w:rPr>
          <w:rFonts w:hint="eastAsia" w:ascii="仿宋_GB2312" w:eastAsia="仿宋_GB2312"/>
          <w:bCs/>
          <w:color w:val="000000"/>
          <w:sz w:val="32"/>
          <w:szCs w:val="32"/>
        </w:rPr>
        <w:t>相关要求</w:t>
      </w:r>
    </w:p>
    <w:p w14:paraId="0915A86E">
      <w:pPr>
        <w:widowControl/>
        <w:adjustRightInd w:val="0"/>
        <w:spacing w:line="560" w:lineRule="exact"/>
        <w:ind w:firstLine="640" w:firstLineChars="200"/>
        <w:jc w:val="both"/>
        <w:rPr>
          <w:rFonts w:hint="eastAsia" w:ascii="仿宋_GB2312" w:eastAsia="仿宋_GB2312"/>
          <w:color w:val="000000"/>
          <w:sz w:val="32"/>
          <w:szCs w:val="32"/>
        </w:rPr>
      </w:pPr>
      <w:r>
        <w:rPr>
          <w:rFonts w:hint="eastAsia" w:ascii="仿宋_GB2312" w:eastAsia="仿宋_GB2312"/>
          <w:color w:val="000000"/>
          <w:sz w:val="32"/>
          <w:szCs w:val="32"/>
        </w:rPr>
        <w:t>1.要求学生为第一发明人、西南交通大学为申请人，需出具国家知识产权局授权的专利证书，且专利应与本专业领域相关。</w:t>
      </w:r>
    </w:p>
    <w:p w14:paraId="1EEB3C89">
      <w:pPr>
        <w:adjustRightInd w:val="0"/>
        <w:spacing w:line="560" w:lineRule="exact"/>
        <w:ind w:firstLine="640" w:firstLineChars="200"/>
        <w:jc w:val="both"/>
        <w:rPr>
          <w:rFonts w:hint="eastAsia" w:ascii="仿宋_GB2312" w:eastAsia="仿宋_GB2312" w:cs="Times New Roman"/>
          <w:b/>
          <w:sz w:val="32"/>
          <w:szCs w:val="32"/>
        </w:rPr>
      </w:pPr>
      <w:r>
        <w:rPr>
          <w:rFonts w:hint="eastAsia" w:ascii="仿宋_GB2312" w:eastAsia="仿宋_GB2312"/>
          <w:sz w:val="32"/>
          <w:szCs w:val="32"/>
        </w:rPr>
        <w:t>（三）科研成果类累积加分不超过1分。</w:t>
      </w:r>
    </w:p>
    <w:p w14:paraId="417E0C91">
      <w:pPr>
        <w:spacing w:before="120" w:beforeLines="50" w:after="120" w:afterLines="50" w:line="560" w:lineRule="exact"/>
        <w:ind w:left="150" w:leftChars="68" w:firstLine="472" w:firstLineChars="147"/>
        <w:jc w:val="both"/>
        <w:rPr>
          <w:rFonts w:hint="eastAsia" w:ascii="仿宋_GB2312" w:eastAsia="仿宋_GB2312" w:cs="Times New Roman"/>
          <w:b/>
          <w:sz w:val="32"/>
          <w:szCs w:val="32"/>
        </w:rPr>
      </w:pPr>
      <w:r>
        <w:rPr>
          <w:rFonts w:hint="eastAsia" w:ascii="仿宋_GB2312" w:eastAsia="仿宋_GB2312" w:cs="Times New Roman"/>
          <w:b/>
          <w:sz w:val="32"/>
          <w:szCs w:val="32"/>
        </w:rPr>
        <w:t>三、文体竞赛类</w:t>
      </w:r>
    </w:p>
    <w:tbl>
      <w:tblPr>
        <w:tblStyle w:val="11"/>
        <w:tblW w:w="8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224"/>
        <w:gridCol w:w="2268"/>
        <w:gridCol w:w="2976"/>
      </w:tblGrid>
      <w:tr w14:paraId="5C15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exact"/>
          <w:jc w:val="center"/>
        </w:trPr>
        <w:tc>
          <w:tcPr>
            <w:tcW w:w="1271" w:type="dxa"/>
            <w:vAlign w:val="center"/>
          </w:tcPr>
          <w:p w14:paraId="1BB4E461">
            <w:pPr>
              <w:spacing w:line="560" w:lineRule="exact"/>
              <w:jc w:val="both"/>
              <w:rPr>
                <w:rFonts w:hint="eastAsia" w:ascii="仿宋_GB2312" w:eastAsia="仿宋_GB2312" w:cs="Times New Roman"/>
                <w:b/>
                <w:color w:val="000000"/>
                <w:sz w:val="32"/>
                <w:szCs w:val="32"/>
              </w:rPr>
            </w:pPr>
            <w:r>
              <w:rPr>
                <w:rFonts w:hint="eastAsia" w:ascii="仿宋_GB2312" w:eastAsia="仿宋_GB2312" w:cs="Times New Roman"/>
                <w:b/>
                <w:color w:val="000000"/>
                <w:sz w:val="32"/>
                <w:szCs w:val="32"/>
              </w:rPr>
              <w:t>等级</w:t>
            </w:r>
          </w:p>
        </w:tc>
        <w:tc>
          <w:tcPr>
            <w:tcW w:w="2224" w:type="dxa"/>
            <w:vAlign w:val="center"/>
          </w:tcPr>
          <w:p w14:paraId="6A63D63A">
            <w:pPr>
              <w:spacing w:line="560" w:lineRule="exact"/>
              <w:jc w:val="center"/>
              <w:rPr>
                <w:rFonts w:hint="eastAsia" w:ascii="仿宋_GB2312" w:eastAsia="仿宋_GB2312"/>
                <w:b/>
                <w:color w:val="000000"/>
                <w:sz w:val="32"/>
                <w:szCs w:val="32"/>
              </w:rPr>
            </w:pPr>
            <w:r>
              <w:rPr>
                <w:rFonts w:hint="eastAsia" w:ascii="仿宋_GB2312" w:eastAsia="仿宋_GB2312"/>
                <w:b/>
                <w:color w:val="000000"/>
                <w:sz w:val="32"/>
                <w:szCs w:val="32"/>
              </w:rPr>
              <w:t>一等奖（含第1、2、3名）</w:t>
            </w:r>
          </w:p>
        </w:tc>
        <w:tc>
          <w:tcPr>
            <w:tcW w:w="2268" w:type="dxa"/>
            <w:vAlign w:val="center"/>
          </w:tcPr>
          <w:p w14:paraId="0C897CB1">
            <w:pPr>
              <w:spacing w:line="560" w:lineRule="exact"/>
              <w:jc w:val="center"/>
              <w:rPr>
                <w:rFonts w:hint="eastAsia" w:ascii="仿宋_GB2312" w:eastAsia="仿宋_GB2312"/>
                <w:b/>
                <w:color w:val="000000"/>
                <w:sz w:val="32"/>
                <w:szCs w:val="32"/>
              </w:rPr>
            </w:pPr>
            <w:r>
              <w:rPr>
                <w:rFonts w:hint="eastAsia" w:ascii="仿宋_GB2312" w:eastAsia="仿宋_GB2312"/>
                <w:b/>
                <w:color w:val="000000"/>
                <w:sz w:val="32"/>
                <w:szCs w:val="32"/>
              </w:rPr>
              <w:t>二等奖（含第4、5、6名）</w:t>
            </w:r>
          </w:p>
        </w:tc>
        <w:tc>
          <w:tcPr>
            <w:tcW w:w="2976" w:type="dxa"/>
            <w:vAlign w:val="center"/>
          </w:tcPr>
          <w:p w14:paraId="255C2C1E">
            <w:pPr>
              <w:spacing w:line="560" w:lineRule="exact"/>
              <w:jc w:val="center"/>
              <w:rPr>
                <w:rFonts w:hint="eastAsia" w:ascii="仿宋_GB2312" w:eastAsia="仿宋_GB2312" w:cs="Times New Roman"/>
                <w:b/>
                <w:color w:val="000000"/>
                <w:sz w:val="32"/>
                <w:szCs w:val="32"/>
              </w:rPr>
            </w:pPr>
            <w:r>
              <w:rPr>
                <w:rFonts w:hint="eastAsia" w:ascii="仿宋_GB2312" w:eastAsia="仿宋_GB2312"/>
                <w:b/>
                <w:color w:val="000000"/>
                <w:sz w:val="32"/>
                <w:szCs w:val="32"/>
              </w:rPr>
              <w:t>三等奖（含第7、8名，优秀奖）</w:t>
            </w:r>
          </w:p>
        </w:tc>
      </w:tr>
      <w:tr w14:paraId="749D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271" w:type="dxa"/>
            <w:vAlign w:val="center"/>
          </w:tcPr>
          <w:p w14:paraId="34DFFC31">
            <w:pPr>
              <w:spacing w:line="560" w:lineRule="exact"/>
              <w:jc w:val="both"/>
              <w:rPr>
                <w:rFonts w:hint="eastAsia" w:ascii="仿宋_GB2312" w:eastAsia="仿宋_GB2312" w:cs="Times New Roman"/>
                <w:color w:val="000000"/>
                <w:sz w:val="32"/>
                <w:szCs w:val="32"/>
              </w:rPr>
            </w:pPr>
            <w:r>
              <w:rPr>
                <w:rFonts w:hint="eastAsia" w:ascii="仿宋_GB2312" w:eastAsia="仿宋_GB2312"/>
                <w:color w:val="000000"/>
                <w:sz w:val="32"/>
                <w:szCs w:val="32"/>
              </w:rPr>
              <w:t>国家级</w:t>
            </w:r>
          </w:p>
        </w:tc>
        <w:tc>
          <w:tcPr>
            <w:tcW w:w="2224" w:type="dxa"/>
            <w:vAlign w:val="center"/>
          </w:tcPr>
          <w:p w14:paraId="0FDAC01E">
            <w:pPr>
              <w:spacing w:line="560" w:lineRule="exact"/>
              <w:jc w:val="center"/>
              <w:rPr>
                <w:rFonts w:hint="eastAsia" w:ascii="仿宋_GB2312" w:eastAsia="仿宋_GB2312" w:cs="Times New Roman"/>
                <w:color w:val="000000"/>
                <w:sz w:val="32"/>
                <w:szCs w:val="32"/>
              </w:rPr>
            </w:pPr>
            <w:r>
              <w:rPr>
                <w:rFonts w:hint="eastAsia" w:ascii="仿宋_GB2312" w:eastAsia="仿宋_GB2312" w:cs="Times New Roman"/>
                <w:color w:val="000000"/>
                <w:sz w:val="32"/>
                <w:szCs w:val="32"/>
              </w:rPr>
              <w:t>1</w:t>
            </w:r>
          </w:p>
        </w:tc>
        <w:tc>
          <w:tcPr>
            <w:tcW w:w="2268" w:type="dxa"/>
            <w:vAlign w:val="center"/>
          </w:tcPr>
          <w:p w14:paraId="5608E9FB">
            <w:pPr>
              <w:spacing w:line="560" w:lineRule="exact"/>
              <w:jc w:val="center"/>
              <w:rPr>
                <w:rFonts w:hint="eastAsia" w:ascii="仿宋_GB2312" w:eastAsia="仿宋_GB2312" w:cs="Times New Roman"/>
                <w:color w:val="000000"/>
                <w:sz w:val="32"/>
                <w:szCs w:val="32"/>
              </w:rPr>
            </w:pPr>
            <w:r>
              <w:rPr>
                <w:rFonts w:hint="eastAsia" w:ascii="仿宋_GB2312" w:eastAsia="仿宋_GB2312" w:cs="Times New Roman"/>
                <w:color w:val="000000"/>
                <w:sz w:val="32"/>
                <w:szCs w:val="32"/>
              </w:rPr>
              <w:t>0.8</w:t>
            </w:r>
          </w:p>
        </w:tc>
        <w:tc>
          <w:tcPr>
            <w:tcW w:w="2976" w:type="dxa"/>
            <w:vAlign w:val="center"/>
          </w:tcPr>
          <w:p w14:paraId="2F052D08">
            <w:pPr>
              <w:spacing w:line="560" w:lineRule="exact"/>
              <w:jc w:val="center"/>
              <w:rPr>
                <w:rFonts w:hint="eastAsia" w:ascii="仿宋_GB2312" w:eastAsia="仿宋_GB2312" w:cs="Times New Roman"/>
                <w:color w:val="000000"/>
                <w:sz w:val="32"/>
                <w:szCs w:val="32"/>
              </w:rPr>
            </w:pPr>
            <w:r>
              <w:rPr>
                <w:rFonts w:hint="eastAsia" w:ascii="仿宋_GB2312" w:eastAsia="仿宋_GB2312" w:cs="Times New Roman"/>
                <w:color w:val="000000"/>
                <w:sz w:val="32"/>
                <w:szCs w:val="32"/>
              </w:rPr>
              <w:t>0.6</w:t>
            </w:r>
          </w:p>
        </w:tc>
      </w:tr>
      <w:tr w14:paraId="649C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271" w:type="dxa"/>
            <w:vAlign w:val="center"/>
          </w:tcPr>
          <w:p w14:paraId="5571E0C4">
            <w:pPr>
              <w:spacing w:line="560" w:lineRule="exact"/>
              <w:jc w:val="both"/>
              <w:rPr>
                <w:rFonts w:hint="eastAsia" w:ascii="仿宋_GB2312" w:eastAsia="仿宋_GB2312" w:cs="Times New Roman"/>
                <w:color w:val="000000"/>
                <w:sz w:val="32"/>
                <w:szCs w:val="32"/>
              </w:rPr>
            </w:pPr>
            <w:r>
              <w:rPr>
                <w:rFonts w:hint="eastAsia" w:ascii="仿宋_GB2312" w:eastAsia="仿宋_GB2312"/>
                <w:color w:val="000000"/>
                <w:sz w:val="32"/>
                <w:szCs w:val="32"/>
              </w:rPr>
              <w:t>省  级</w:t>
            </w:r>
          </w:p>
        </w:tc>
        <w:tc>
          <w:tcPr>
            <w:tcW w:w="2224" w:type="dxa"/>
            <w:vAlign w:val="center"/>
          </w:tcPr>
          <w:p w14:paraId="0CC895C0">
            <w:pPr>
              <w:spacing w:line="560" w:lineRule="exact"/>
              <w:jc w:val="center"/>
              <w:rPr>
                <w:rFonts w:hint="eastAsia" w:ascii="仿宋_GB2312" w:eastAsia="仿宋_GB2312" w:cs="Times New Roman"/>
                <w:color w:val="000000"/>
                <w:sz w:val="32"/>
                <w:szCs w:val="32"/>
              </w:rPr>
            </w:pPr>
            <w:r>
              <w:rPr>
                <w:rFonts w:hint="eastAsia" w:ascii="仿宋_GB2312" w:eastAsia="仿宋_GB2312" w:cs="Times New Roman"/>
                <w:color w:val="000000"/>
                <w:sz w:val="32"/>
                <w:szCs w:val="32"/>
              </w:rPr>
              <w:t>0.8</w:t>
            </w:r>
          </w:p>
        </w:tc>
        <w:tc>
          <w:tcPr>
            <w:tcW w:w="2268" w:type="dxa"/>
            <w:vAlign w:val="center"/>
          </w:tcPr>
          <w:p w14:paraId="0625925D">
            <w:pPr>
              <w:spacing w:line="560" w:lineRule="exact"/>
              <w:jc w:val="center"/>
              <w:rPr>
                <w:rFonts w:hint="eastAsia" w:ascii="仿宋_GB2312" w:eastAsia="仿宋_GB2312" w:cs="Times New Roman"/>
                <w:color w:val="000000"/>
                <w:sz w:val="32"/>
                <w:szCs w:val="32"/>
              </w:rPr>
            </w:pPr>
            <w:r>
              <w:rPr>
                <w:rFonts w:hint="eastAsia" w:ascii="仿宋_GB2312" w:eastAsia="仿宋_GB2312" w:cs="Times New Roman"/>
                <w:color w:val="000000"/>
                <w:sz w:val="32"/>
                <w:szCs w:val="32"/>
              </w:rPr>
              <w:t>0.4</w:t>
            </w:r>
          </w:p>
        </w:tc>
        <w:tc>
          <w:tcPr>
            <w:tcW w:w="2976" w:type="dxa"/>
            <w:vAlign w:val="center"/>
          </w:tcPr>
          <w:p w14:paraId="6A6CA252">
            <w:pPr>
              <w:spacing w:line="560" w:lineRule="exact"/>
              <w:jc w:val="center"/>
              <w:rPr>
                <w:rFonts w:hint="eastAsia" w:ascii="仿宋_GB2312" w:eastAsia="仿宋_GB2312"/>
                <w:color w:val="000000"/>
                <w:sz w:val="32"/>
                <w:szCs w:val="32"/>
              </w:rPr>
            </w:pPr>
            <w:r>
              <w:rPr>
                <w:rFonts w:hint="eastAsia" w:ascii="仿宋_GB2312" w:eastAsia="仿宋_GB2312" w:cs="Times New Roman"/>
                <w:color w:val="000000"/>
                <w:sz w:val="32"/>
                <w:szCs w:val="32"/>
              </w:rPr>
              <w:t>0.2</w:t>
            </w:r>
          </w:p>
        </w:tc>
      </w:tr>
      <w:tr w14:paraId="132F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271" w:type="dxa"/>
            <w:vAlign w:val="center"/>
          </w:tcPr>
          <w:p w14:paraId="50E7A971">
            <w:pPr>
              <w:spacing w:line="560" w:lineRule="exact"/>
              <w:jc w:val="both"/>
              <w:rPr>
                <w:rFonts w:hint="eastAsia" w:ascii="仿宋_GB2312" w:eastAsia="仿宋_GB2312"/>
                <w:color w:val="000000"/>
                <w:sz w:val="32"/>
                <w:szCs w:val="32"/>
              </w:rPr>
            </w:pPr>
            <w:r>
              <w:rPr>
                <w:rFonts w:hint="eastAsia" w:ascii="仿宋_GB2312" w:eastAsia="仿宋_GB2312"/>
                <w:color w:val="000000"/>
                <w:sz w:val="32"/>
                <w:szCs w:val="32"/>
              </w:rPr>
              <w:t>校  级</w:t>
            </w:r>
          </w:p>
        </w:tc>
        <w:tc>
          <w:tcPr>
            <w:tcW w:w="2224" w:type="dxa"/>
            <w:vAlign w:val="center"/>
          </w:tcPr>
          <w:p w14:paraId="625C384E">
            <w:pPr>
              <w:spacing w:line="560" w:lineRule="exact"/>
              <w:jc w:val="center"/>
              <w:rPr>
                <w:rFonts w:hint="eastAsia" w:ascii="仿宋_GB2312" w:eastAsia="仿宋_GB2312" w:cs="Times New Roman"/>
                <w:color w:val="000000"/>
                <w:sz w:val="32"/>
                <w:szCs w:val="32"/>
              </w:rPr>
            </w:pPr>
            <w:r>
              <w:rPr>
                <w:rFonts w:hint="eastAsia" w:ascii="仿宋_GB2312" w:eastAsia="仿宋_GB2312" w:cs="Times New Roman"/>
                <w:color w:val="000000"/>
                <w:sz w:val="32"/>
                <w:szCs w:val="32"/>
              </w:rPr>
              <w:t>0.3</w:t>
            </w:r>
          </w:p>
        </w:tc>
        <w:tc>
          <w:tcPr>
            <w:tcW w:w="2268" w:type="dxa"/>
            <w:vAlign w:val="center"/>
          </w:tcPr>
          <w:p w14:paraId="06E8E387">
            <w:pPr>
              <w:spacing w:line="560" w:lineRule="exact"/>
              <w:jc w:val="center"/>
              <w:rPr>
                <w:rFonts w:hint="eastAsia" w:ascii="仿宋_GB2312" w:eastAsia="仿宋_GB2312" w:cs="Times New Roman"/>
                <w:color w:val="000000"/>
                <w:sz w:val="32"/>
                <w:szCs w:val="32"/>
              </w:rPr>
            </w:pPr>
            <w:r>
              <w:rPr>
                <w:rFonts w:hint="eastAsia" w:ascii="仿宋_GB2312" w:eastAsia="仿宋_GB2312" w:cs="Times New Roman"/>
                <w:color w:val="000000"/>
                <w:sz w:val="32"/>
                <w:szCs w:val="32"/>
              </w:rPr>
              <w:t>0.2</w:t>
            </w:r>
          </w:p>
        </w:tc>
        <w:tc>
          <w:tcPr>
            <w:tcW w:w="2976" w:type="dxa"/>
            <w:vAlign w:val="center"/>
          </w:tcPr>
          <w:p w14:paraId="2F6D67B1">
            <w:pPr>
              <w:spacing w:line="560" w:lineRule="exact"/>
              <w:jc w:val="center"/>
              <w:rPr>
                <w:rFonts w:hint="eastAsia" w:ascii="仿宋_GB2312" w:eastAsia="仿宋_GB2312" w:cs="Times New Roman"/>
                <w:color w:val="000000"/>
                <w:sz w:val="32"/>
                <w:szCs w:val="32"/>
              </w:rPr>
            </w:pPr>
            <w:r>
              <w:rPr>
                <w:rFonts w:hint="eastAsia" w:ascii="仿宋_GB2312" w:eastAsia="仿宋_GB2312" w:cs="Times New Roman"/>
                <w:color w:val="000000"/>
                <w:sz w:val="32"/>
                <w:szCs w:val="32"/>
              </w:rPr>
              <w:t>0.1</w:t>
            </w:r>
          </w:p>
        </w:tc>
      </w:tr>
    </w:tbl>
    <w:p w14:paraId="2BE17221">
      <w:pPr>
        <w:spacing w:before="240" w:beforeLines="100" w:line="560" w:lineRule="exact"/>
        <w:ind w:firstLine="640" w:firstLineChars="200"/>
        <w:jc w:val="both"/>
        <w:rPr>
          <w:rFonts w:hint="eastAsia" w:ascii="仿宋_GB2312" w:eastAsia="仿宋_GB2312" w:cs="Times New Roman"/>
          <w:sz w:val="32"/>
          <w:szCs w:val="32"/>
        </w:rPr>
      </w:pPr>
      <w:r>
        <w:rPr>
          <w:rFonts w:hint="eastAsia" w:ascii="仿宋_GB2312" w:eastAsia="仿宋_GB2312" w:cs="Times New Roman"/>
          <w:sz w:val="32"/>
          <w:szCs w:val="32"/>
        </w:rPr>
        <w:t>说明：</w:t>
      </w:r>
    </w:p>
    <w:p w14:paraId="02E43515">
      <w:pPr>
        <w:spacing w:line="560" w:lineRule="exact"/>
        <w:ind w:firstLine="640" w:firstLineChars="200"/>
        <w:jc w:val="both"/>
        <w:rPr>
          <w:rFonts w:hint="eastAsia" w:ascii="仿宋_GB2312" w:eastAsia="仿宋_GB2312" w:cs="Times New Roman"/>
          <w:sz w:val="32"/>
          <w:szCs w:val="32"/>
        </w:rPr>
      </w:pPr>
      <w:r>
        <w:rPr>
          <w:rFonts w:hint="eastAsia" w:ascii="仿宋_GB2312" w:eastAsia="仿宋_GB2312" w:cs="Times New Roman"/>
          <w:sz w:val="32"/>
          <w:szCs w:val="32"/>
        </w:rPr>
        <w:t>（一）</w:t>
      </w:r>
      <w:r>
        <w:rPr>
          <w:rFonts w:hint="eastAsia" w:ascii="仿宋_GB2312" w:eastAsia="仿宋_GB2312"/>
          <w:sz w:val="32"/>
          <w:szCs w:val="32"/>
        </w:rPr>
        <w:t>涉及参赛排名先后的团队项目，第1、2、3参与人按照相应加分标准申请加分，第4、5参与人在相应加分标准基础上乘0.5的系数，其他参与人不加分；不涉及参赛排名先后的</w:t>
      </w:r>
      <w:r>
        <w:rPr>
          <w:rFonts w:hint="eastAsia" w:ascii="仿宋_GB2312" w:eastAsia="仿宋_GB2312" w:cs="Times New Roman"/>
          <w:sz w:val="32"/>
          <w:szCs w:val="32"/>
        </w:rPr>
        <w:t>团体比赛项目按等级、名次在上表加分的基础上乘以系数0.5（4人以上项目算作集体项目）。</w:t>
      </w:r>
    </w:p>
    <w:p w14:paraId="07D518FC">
      <w:pPr>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（二）参赛报名顺序的认定依据“三确认原则”即获奖证书、指导老师、参赛队员三者同时确认。若获奖证书尚未颁发，必须有权威部门签字盖章的证明。</w:t>
      </w:r>
    </w:p>
    <w:p w14:paraId="152C316D">
      <w:pPr>
        <w:spacing w:line="560" w:lineRule="exact"/>
        <w:ind w:firstLine="640" w:firstLineChars="200"/>
        <w:jc w:val="both"/>
        <w:rPr>
          <w:rFonts w:hint="eastAsia" w:ascii="仿宋_GB2312" w:eastAsia="仿宋_GB2312" w:cs="Times New Roman"/>
          <w:sz w:val="32"/>
          <w:szCs w:val="32"/>
        </w:rPr>
      </w:pPr>
      <w:r>
        <w:rPr>
          <w:rFonts w:hint="eastAsia" w:ascii="仿宋_GB2312" w:eastAsia="仿宋_GB2312" w:cs="Times New Roman"/>
          <w:sz w:val="32"/>
          <w:szCs w:val="32"/>
        </w:rPr>
        <w:t>（三）文体竞赛加分不超过1分。</w:t>
      </w:r>
    </w:p>
    <w:p w14:paraId="5B70DDB5">
      <w:pPr>
        <w:spacing w:line="560" w:lineRule="exact"/>
        <w:ind w:firstLine="643" w:firstLineChars="200"/>
        <w:jc w:val="both"/>
        <w:rPr>
          <w:rFonts w:hint="eastAsia" w:ascii="仿宋_GB2312" w:eastAsia="仿宋_GB2312"/>
          <w:b/>
          <w:bCs/>
          <w:sz w:val="32"/>
          <w:szCs w:val="32"/>
        </w:rPr>
      </w:pPr>
      <w:r>
        <w:rPr>
          <w:rFonts w:hint="eastAsia" w:ascii="仿宋_GB2312" w:eastAsia="仿宋_GB2312" w:cs="Times New Roman"/>
          <w:b/>
          <w:bCs/>
          <w:sz w:val="32"/>
          <w:szCs w:val="32"/>
        </w:rPr>
        <w:t>四、</w:t>
      </w:r>
      <w:r>
        <w:rPr>
          <w:rFonts w:hint="eastAsia" w:ascii="仿宋_GB2312" w:eastAsia="仿宋_GB2312"/>
          <w:b/>
          <w:bCs/>
          <w:sz w:val="32"/>
          <w:szCs w:val="32"/>
        </w:rPr>
        <w:t>学生干部类</w:t>
      </w:r>
    </w:p>
    <w:p w14:paraId="13F63F69">
      <w:pPr>
        <w:pStyle w:val="7"/>
        <w:spacing w:line="560" w:lineRule="exact"/>
        <w:ind w:firstLine="640" w:firstLineChars="200"/>
        <w:jc w:val="both"/>
        <w:rPr>
          <w:rFonts w:hint="eastAsia" w:ascii="仿宋_GB2312" w:eastAsia="仿宋_GB2312"/>
          <w:sz w:val="32"/>
          <w:szCs w:val="32"/>
        </w:rPr>
      </w:pPr>
      <w:bookmarkStart w:id="6" w:name="OLE_LINK18"/>
      <w:r>
        <w:rPr>
          <w:rFonts w:hint="eastAsia" w:ascii="仿宋_GB2312" w:eastAsia="仿宋_GB2312"/>
          <w:sz w:val="32"/>
          <w:szCs w:val="32"/>
        </w:rPr>
        <w:t>学生干部评价成绩</w:t>
      </w:r>
      <w:bookmarkEnd w:id="6"/>
      <w:r>
        <w:rPr>
          <w:rFonts w:hint="eastAsia" w:ascii="仿宋_GB2312" w:eastAsia="仿宋_GB2312"/>
          <w:sz w:val="32"/>
          <w:szCs w:val="32"/>
        </w:rPr>
        <w:t>=0.5分</w:t>
      </w:r>
      <w:bookmarkStart w:id="7" w:name="OLE_LINK16"/>
      <w:r>
        <w:rPr>
          <w:rFonts w:hint="eastAsia" w:ascii="仿宋_GB2312" w:eastAsia="仿宋_GB2312"/>
          <w:sz w:val="32"/>
          <w:szCs w:val="32"/>
        </w:rPr>
        <w:t>×</w:t>
      </w:r>
      <w:bookmarkEnd w:id="7"/>
      <w:r>
        <w:rPr>
          <w:rFonts w:hint="eastAsia" w:ascii="仿宋_GB2312" w:eastAsia="仿宋_GB2312"/>
          <w:sz w:val="32"/>
          <w:szCs w:val="32"/>
        </w:rPr>
        <w:t>层次系数×考核系数×时间系数</w:t>
      </w:r>
    </w:p>
    <w:p w14:paraId="68EB686C">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（一）层次系数和考核系数如下：</w:t>
      </w:r>
    </w:p>
    <w:tbl>
      <w:tblPr>
        <w:tblStyle w:val="11"/>
        <w:tblW w:w="75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90"/>
        <w:gridCol w:w="1559"/>
        <w:gridCol w:w="1560"/>
      </w:tblGrid>
      <w:tr w14:paraId="0AE58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4390" w:type="dxa"/>
            <w:vAlign w:val="center"/>
          </w:tcPr>
          <w:p w14:paraId="2A11E9CD">
            <w:pPr>
              <w:pStyle w:val="17"/>
              <w:spacing w:before="0" w:line="560" w:lineRule="exact"/>
              <w:ind w:left="0"/>
              <w:jc w:val="both"/>
              <w:rPr>
                <w:rFonts w:hint="eastAsia" w:ascii="仿宋_GB2312" w:eastAsia="仿宋_GB2312"/>
                <w:bCs/>
                <w:sz w:val="32"/>
                <w:szCs w:val="32"/>
              </w:rPr>
            </w:pPr>
            <w:r>
              <w:rPr>
                <w:rFonts w:hint="eastAsia" w:ascii="仿宋_GB2312" w:eastAsia="仿宋_GB2312"/>
                <w:bCs/>
                <w:sz w:val="32"/>
                <w:szCs w:val="32"/>
              </w:rPr>
              <w:t>任职类别</w:t>
            </w:r>
          </w:p>
        </w:tc>
        <w:tc>
          <w:tcPr>
            <w:tcW w:w="1559" w:type="dxa"/>
            <w:vAlign w:val="center"/>
          </w:tcPr>
          <w:p w14:paraId="0C432CE6">
            <w:pPr>
              <w:pStyle w:val="17"/>
              <w:spacing w:before="0" w:line="560" w:lineRule="exact"/>
              <w:ind w:left="0"/>
              <w:jc w:val="both"/>
              <w:rPr>
                <w:rFonts w:hint="eastAsia" w:ascii="仿宋_GB2312" w:eastAsia="仿宋_GB2312"/>
                <w:bCs/>
                <w:sz w:val="32"/>
                <w:szCs w:val="32"/>
              </w:rPr>
            </w:pPr>
            <w:r>
              <w:rPr>
                <w:rFonts w:hint="eastAsia" w:ascii="仿宋_GB2312" w:eastAsia="仿宋_GB2312"/>
                <w:bCs/>
                <w:sz w:val="32"/>
                <w:szCs w:val="32"/>
              </w:rPr>
              <w:t>层次系数</w:t>
            </w:r>
          </w:p>
        </w:tc>
        <w:tc>
          <w:tcPr>
            <w:tcW w:w="1560" w:type="dxa"/>
            <w:vAlign w:val="center"/>
          </w:tcPr>
          <w:p w14:paraId="081E3BB7">
            <w:pPr>
              <w:pStyle w:val="17"/>
              <w:spacing w:before="0" w:line="560" w:lineRule="exact"/>
              <w:ind w:left="0"/>
              <w:jc w:val="both"/>
              <w:rPr>
                <w:rFonts w:hint="eastAsia" w:ascii="仿宋_GB2312" w:eastAsia="仿宋_GB2312"/>
                <w:bCs/>
                <w:sz w:val="32"/>
                <w:szCs w:val="32"/>
              </w:rPr>
            </w:pPr>
            <w:r>
              <w:rPr>
                <w:rFonts w:hint="eastAsia" w:ascii="仿宋_GB2312" w:eastAsia="仿宋_GB2312"/>
                <w:bCs/>
                <w:sz w:val="32"/>
                <w:szCs w:val="32"/>
              </w:rPr>
              <w:t>考核系数</w:t>
            </w:r>
          </w:p>
        </w:tc>
      </w:tr>
      <w:tr w14:paraId="47DFD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jc w:val="center"/>
        </w:trPr>
        <w:tc>
          <w:tcPr>
            <w:tcW w:w="4390" w:type="dxa"/>
            <w:vAlign w:val="center"/>
          </w:tcPr>
          <w:p w14:paraId="233443FB">
            <w:pPr>
              <w:pStyle w:val="17"/>
              <w:spacing w:before="0" w:line="560" w:lineRule="exact"/>
              <w:ind w:left="0"/>
              <w:jc w:val="both"/>
              <w:rPr>
                <w:rFonts w:hint="eastAsia" w:ascii="仿宋_GB2312" w:eastAsia="仿宋_GB2312"/>
                <w:sz w:val="32"/>
                <w:szCs w:val="32"/>
              </w:rPr>
            </w:pPr>
            <w:r>
              <w:rPr>
                <w:rFonts w:hint="eastAsia" w:ascii="仿宋_GB2312" w:eastAsia="仿宋_GB2312"/>
                <w:spacing w:val="-1"/>
                <w:sz w:val="32"/>
                <w:szCs w:val="32"/>
              </w:rPr>
              <w:t>党支部书记，校区团学组织主要负责人及部门负责人，班长、团支书</w:t>
            </w:r>
          </w:p>
        </w:tc>
        <w:tc>
          <w:tcPr>
            <w:tcW w:w="1559" w:type="dxa"/>
            <w:vAlign w:val="center"/>
          </w:tcPr>
          <w:p w14:paraId="2720B6B9">
            <w:pPr>
              <w:pStyle w:val="17"/>
              <w:spacing w:before="0" w:line="560" w:lineRule="exact"/>
              <w:ind w:left="0"/>
              <w:jc w:val="center"/>
              <w:rPr>
                <w:rFonts w:hint="eastAsia" w:ascii="仿宋_GB2312" w:eastAsia="仿宋_GB2312"/>
                <w:sz w:val="32"/>
                <w:szCs w:val="32"/>
              </w:rPr>
            </w:pPr>
            <w:r>
              <w:rPr>
                <w:rFonts w:hint="eastAsia" w:ascii="仿宋_GB2312" w:eastAsia="仿宋_GB2312"/>
                <w:sz w:val="32"/>
                <w:szCs w:val="32"/>
              </w:rPr>
              <w:t>1</w:t>
            </w:r>
          </w:p>
        </w:tc>
        <w:tc>
          <w:tcPr>
            <w:tcW w:w="1560" w:type="dxa"/>
            <w:vAlign w:val="center"/>
          </w:tcPr>
          <w:p w14:paraId="2D0E9613">
            <w:pPr>
              <w:pStyle w:val="17"/>
              <w:spacing w:before="0" w:line="560" w:lineRule="exact"/>
              <w:ind w:left="0"/>
              <w:jc w:val="both"/>
              <w:rPr>
                <w:rFonts w:hint="eastAsia" w:ascii="仿宋_GB2312" w:eastAsia="仿宋_GB2312"/>
                <w:sz w:val="32"/>
                <w:szCs w:val="32"/>
              </w:rPr>
            </w:pPr>
            <w:r>
              <w:rPr>
                <w:rFonts w:hint="eastAsia" w:ascii="仿宋_GB2312" w:eastAsia="仿宋_GB2312"/>
                <w:sz w:val="32"/>
                <w:szCs w:val="32"/>
              </w:rPr>
              <w:t>优：1</w:t>
            </w:r>
          </w:p>
          <w:p w14:paraId="23A01997">
            <w:pPr>
              <w:pStyle w:val="17"/>
              <w:spacing w:before="0" w:line="560" w:lineRule="exact"/>
              <w:ind w:left="0"/>
              <w:jc w:val="both"/>
              <w:rPr>
                <w:rFonts w:hint="eastAsia" w:ascii="仿宋_GB2312" w:eastAsia="仿宋_GB2312"/>
                <w:sz w:val="32"/>
                <w:szCs w:val="32"/>
              </w:rPr>
            </w:pPr>
            <w:r>
              <w:rPr>
                <w:rFonts w:hint="eastAsia" w:ascii="仿宋_GB2312" w:eastAsia="仿宋_GB2312"/>
                <w:sz w:val="32"/>
                <w:szCs w:val="32"/>
              </w:rPr>
              <w:t>良：0.8</w:t>
            </w:r>
          </w:p>
          <w:p w14:paraId="500282A8">
            <w:pPr>
              <w:pStyle w:val="17"/>
              <w:spacing w:before="0" w:line="560" w:lineRule="exact"/>
              <w:ind w:left="0"/>
              <w:jc w:val="both"/>
              <w:rPr>
                <w:rFonts w:hint="eastAsia" w:ascii="仿宋_GB2312" w:eastAsia="仿宋_GB2312"/>
                <w:sz w:val="32"/>
                <w:szCs w:val="32"/>
              </w:rPr>
            </w:pPr>
            <w:r>
              <w:rPr>
                <w:rFonts w:hint="eastAsia" w:ascii="仿宋_GB2312" w:eastAsia="仿宋_GB2312"/>
                <w:sz w:val="32"/>
                <w:szCs w:val="32"/>
              </w:rPr>
              <w:t>合格：0.6</w:t>
            </w:r>
          </w:p>
          <w:p w14:paraId="0B5B47D8">
            <w:pPr>
              <w:pStyle w:val="17"/>
              <w:spacing w:before="0" w:line="560" w:lineRule="exact"/>
              <w:ind w:left="0"/>
              <w:jc w:val="both"/>
              <w:rPr>
                <w:rFonts w:hint="eastAsia" w:ascii="仿宋_GB2312" w:eastAsia="仿宋_GB2312"/>
                <w:sz w:val="32"/>
                <w:szCs w:val="32"/>
              </w:rPr>
            </w:pPr>
            <w:r>
              <w:rPr>
                <w:rFonts w:hint="eastAsia" w:ascii="仿宋_GB2312" w:eastAsia="仿宋_GB2312"/>
                <w:sz w:val="32"/>
                <w:szCs w:val="32"/>
              </w:rPr>
              <w:t>不合格：0</w:t>
            </w:r>
          </w:p>
        </w:tc>
      </w:tr>
      <w:tr w14:paraId="71A4C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4" w:hRule="atLeast"/>
          <w:jc w:val="center"/>
        </w:trPr>
        <w:tc>
          <w:tcPr>
            <w:tcW w:w="4390" w:type="dxa"/>
            <w:vAlign w:val="center"/>
          </w:tcPr>
          <w:p w14:paraId="705496CB">
            <w:pPr>
              <w:pStyle w:val="17"/>
              <w:spacing w:before="0" w:line="560" w:lineRule="exact"/>
              <w:ind w:left="0"/>
              <w:jc w:val="both"/>
              <w:rPr>
                <w:rFonts w:hint="eastAsia" w:ascii="仿宋_GB2312" w:eastAsia="仿宋_GB2312"/>
                <w:sz w:val="32"/>
                <w:szCs w:val="32"/>
                <w:lang w:val="en-US"/>
              </w:rPr>
            </w:pPr>
            <w:r>
              <w:rPr>
                <w:rFonts w:hint="eastAsia" w:ascii="仿宋_GB2312" w:eastAsia="仿宋_GB2312"/>
                <w:spacing w:val="-1"/>
                <w:sz w:val="32"/>
                <w:szCs w:val="32"/>
              </w:rPr>
              <w:t>党支部副书记、组织委员、宣传委员</w:t>
            </w:r>
            <w:r>
              <w:rPr>
                <w:rFonts w:hint="eastAsia" w:ascii="仿宋_GB2312" w:eastAsia="仿宋_GB2312"/>
                <w:spacing w:val="-1"/>
                <w:sz w:val="32"/>
                <w:szCs w:val="32"/>
                <w:lang w:val="en-US"/>
              </w:rPr>
              <w:t>等</w:t>
            </w:r>
            <w:bookmarkStart w:id="8" w:name="OLE_LINK3"/>
            <w:r>
              <w:rPr>
                <w:rFonts w:hint="eastAsia" w:ascii="仿宋_GB2312" w:eastAsia="仿宋_GB2312"/>
                <w:spacing w:val="-1"/>
                <w:sz w:val="32"/>
                <w:szCs w:val="32"/>
                <w:lang w:val="en-US"/>
              </w:rPr>
              <w:t>干部成员</w:t>
            </w:r>
            <w:bookmarkEnd w:id="8"/>
            <w:r>
              <w:rPr>
                <w:rFonts w:hint="eastAsia" w:ascii="仿宋_GB2312" w:eastAsia="仿宋_GB2312"/>
                <w:spacing w:val="-1"/>
                <w:sz w:val="32"/>
                <w:szCs w:val="32"/>
                <w:lang w:val="en-US"/>
              </w:rPr>
              <w:t>；</w:t>
            </w:r>
            <w:r>
              <w:rPr>
                <w:rFonts w:hint="eastAsia" w:ascii="仿宋_GB2312" w:eastAsia="仿宋_GB2312"/>
                <w:spacing w:val="-1"/>
                <w:sz w:val="32"/>
                <w:szCs w:val="32"/>
              </w:rPr>
              <w:t>校区团学组织其他成员；</w:t>
            </w:r>
            <w:r>
              <w:rPr>
                <w:rFonts w:hint="eastAsia" w:ascii="仿宋_GB2312" w:eastAsia="仿宋_GB2312"/>
                <w:spacing w:val="-2"/>
                <w:sz w:val="32"/>
                <w:szCs w:val="32"/>
              </w:rPr>
              <w:t>学习委员，</w:t>
            </w:r>
            <w:r>
              <w:rPr>
                <w:rFonts w:hint="eastAsia" w:ascii="仿宋_GB2312" w:eastAsia="仿宋_GB2312"/>
                <w:spacing w:val="-2"/>
                <w:sz w:val="32"/>
                <w:szCs w:val="32"/>
                <w:lang w:val="en-US"/>
              </w:rPr>
              <w:t>组织委员</w:t>
            </w:r>
            <w:r>
              <w:rPr>
                <w:rFonts w:hint="eastAsia" w:ascii="仿宋_GB2312" w:eastAsia="仿宋_GB2312"/>
                <w:spacing w:val="-2"/>
                <w:sz w:val="32"/>
                <w:szCs w:val="32"/>
              </w:rPr>
              <w:t>、</w:t>
            </w:r>
            <w:r>
              <w:rPr>
                <w:rFonts w:hint="eastAsia" w:ascii="仿宋_GB2312" w:eastAsia="仿宋_GB2312"/>
                <w:spacing w:val="-2"/>
                <w:sz w:val="32"/>
                <w:szCs w:val="32"/>
                <w:lang w:val="en-US"/>
              </w:rPr>
              <w:t>宣传委员、纪律委员、心理委员</w:t>
            </w:r>
            <w:r>
              <w:rPr>
                <w:rFonts w:hint="eastAsia" w:ascii="仿宋_GB2312" w:eastAsia="仿宋_GB2312"/>
                <w:sz w:val="32"/>
                <w:szCs w:val="32"/>
              </w:rPr>
              <w:t>等</w:t>
            </w:r>
            <w:r>
              <w:rPr>
                <w:rFonts w:hint="eastAsia" w:ascii="仿宋_GB2312" w:eastAsia="仿宋_GB2312"/>
                <w:spacing w:val="-1"/>
                <w:sz w:val="32"/>
                <w:szCs w:val="32"/>
                <w:lang w:val="en-US"/>
              </w:rPr>
              <w:t>干部成员</w:t>
            </w:r>
          </w:p>
        </w:tc>
        <w:tc>
          <w:tcPr>
            <w:tcW w:w="1559" w:type="dxa"/>
            <w:vAlign w:val="center"/>
          </w:tcPr>
          <w:p w14:paraId="7829DACF">
            <w:pPr>
              <w:pStyle w:val="17"/>
              <w:spacing w:before="0" w:line="560" w:lineRule="exact"/>
              <w:ind w:left="0"/>
              <w:jc w:val="center"/>
              <w:rPr>
                <w:rFonts w:hint="eastAsia" w:ascii="仿宋_GB2312" w:eastAsia="仿宋_GB2312"/>
                <w:sz w:val="32"/>
                <w:szCs w:val="32"/>
              </w:rPr>
            </w:pPr>
            <w:r>
              <w:rPr>
                <w:rFonts w:hint="eastAsia" w:ascii="仿宋_GB2312" w:eastAsia="仿宋_GB2312"/>
                <w:sz w:val="32"/>
                <w:szCs w:val="32"/>
              </w:rPr>
              <w:t>0.6</w:t>
            </w:r>
          </w:p>
        </w:tc>
        <w:tc>
          <w:tcPr>
            <w:tcW w:w="1560" w:type="dxa"/>
            <w:vAlign w:val="center"/>
          </w:tcPr>
          <w:p w14:paraId="78BC3B25">
            <w:pPr>
              <w:pStyle w:val="17"/>
              <w:spacing w:before="0" w:line="560" w:lineRule="exact"/>
              <w:ind w:left="0"/>
              <w:jc w:val="both"/>
              <w:rPr>
                <w:rFonts w:hint="eastAsia" w:ascii="仿宋_GB2312" w:eastAsia="仿宋_GB2312"/>
                <w:sz w:val="32"/>
                <w:szCs w:val="32"/>
              </w:rPr>
            </w:pPr>
            <w:r>
              <w:rPr>
                <w:rFonts w:hint="eastAsia" w:ascii="仿宋_GB2312" w:eastAsia="仿宋_GB2312"/>
                <w:sz w:val="32"/>
                <w:szCs w:val="32"/>
              </w:rPr>
              <w:t>优：1</w:t>
            </w:r>
          </w:p>
          <w:p w14:paraId="6835F5B2">
            <w:pPr>
              <w:pStyle w:val="17"/>
              <w:spacing w:before="0" w:line="560" w:lineRule="exact"/>
              <w:ind w:left="0"/>
              <w:jc w:val="both"/>
              <w:rPr>
                <w:rFonts w:hint="eastAsia" w:ascii="仿宋_GB2312" w:eastAsia="仿宋_GB2312"/>
                <w:sz w:val="32"/>
                <w:szCs w:val="32"/>
              </w:rPr>
            </w:pPr>
            <w:r>
              <w:rPr>
                <w:rFonts w:hint="eastAsia" w:ascii="仿宋_GB2312" w:eastAsia="仿宋_GB2312"/>
                <w:sz w:val="32"/>
                <w:szCs w:val="32"/>
              </w:rPr>
              <w:t>良：0.8</w:t>
            </w:r>
          </w:p>
          <w:p w14:paraId="791FA638">
            <w:pPr>
              <w:pStyle w:val="17"/>
              <w:spacing w:before="0" w:line="560" w:lineRule="exact"/>
              <w:ind w:left="0"/>
              <w:jc w:val="both"/>
              <w:rPr>
                <w:rFonts w:hint="eastAsia" w:ascii="仿宋_GB2312" w:eastAsia="仿宋_GB2312"/>
                <w:sz w:val="32"/>
                <w:szCs w:val="32"/>
              </w:rPr>
            </w:pPr>
            <w:r>
              <w:rPr>
                <w:rFonts w:hint="eastAsia" w:ascii="仿宋_GB2312" w:eastAsia="仿宋_GB2312"/>
                <w:sz w:val="32"/>
                <w:szCs w:val="32"/>
              </w:rPr>
              <w:t>合格：0.6</w:t>
            </w:r>
          </w:p>
          <w:p w14:paraId="4E38BC83">
            <w:pPr>
              <w:pStyle w:val="17"/>
              <w:spacing w:before="0" w:line="560" w:lineRule="exact"/>
              <w:ind w:left="0"/>
              <w:jc w:val="both"/>
              <w:rPr>
                <w:rFonts w:hint="eastAsia" w:ascii="仿宋_GB2312" w:eastAsia="仿宋_GB2312"/>
                <w:sz w:val="32"/>
                <w:szCs w:val="32"/>
              </w:rPr>
            </w:pPr>
            <w:r>
              <w:rPr>
                <w:rFonts w:hint="eastAsia" w:ascii="仿宋_GB2312" w:eastAsia="仿宋_GB2312"/>
                <w:sz w:val="32"/>
                <w:szCs w:val="32"/>
              </w:rPr>
              <w:t>不合格：0</w:t>
            </w:r>
          </w:p>
        </w:tc>
      </w:tr>
    </w:tbl>
    <w:p w14:paraId="59331C41">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注：</w:t>
      </w:r>
    </w:p>
    <w:p w14:paraId="18CFC374">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1.班团干部考核系数（即：“优”“良”“合格”）由班级民主评议，辅导员担任班级民主评议组长。</w:t>
      </w:r>
    </w:p>
    <w:p w14:paraId="758A0ACF">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2.其他各组织学生干部考核系数（即：“优”“良”“合格”）由各相应的组织评议之后，还需通过班级民主评议会。</w:t>
      </w:r>
    </w:p>
    <w:p w14:paraId="4BCDA6F4">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3.同时有多个学生干部任职的，选层次系数高的申请加分。</w:t>
      </w:r>
    </w:p>
    <w:p w14:paraId="2B8AACF1">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4.新成立的学生组织加分由综合奖学金评审小组讨论决定。</w:t>
      </w:r>
    </w:p>
    <w:p w14:paraId="02196C47">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（二）任职时间满一学年的，时间系数为1；任职时间满半学年（一学期），时间系数为0.5。</w:t>
      </w:r>
    </w:p>
    <w:p w14:paraId="245B814A">
      <w:pPr>
        <w:spacing w:line="560" w:lineRule="exact"/>
        <w:ind w:firstLine="643" w:firstLineChars="200"/>
        <w:jc w:val="both"/>
        <w:rPr>
          <w:rFonts w:hint="eastAsia" w:ascii="仿宋_GB2312" w:eastAsia="仿宋_GB2312" w:cs="Times New Roman"/>
          <w:b/>
          <w:bCs/>
          <w:sz w:val="32"/>
          <w:szCs w:val="32"/>
        </w:rPr>
      </w:pPr>
      <w:r>
        <w:rPr>
          <w:rFonts w:hint="eastAsia" w:ascii="仿宋_GB2312" w:eastAsia="仿宋_GB2312" w:cs="Times New Roman"/>
          <w:b/>
          <w:bCs/>
          <w:sz w:val="32"/>
          <w:szCs w:val="32"/>
        </w:rPr>
        <w:t>五、其他类加分</w:t>
      </w:r>
    </w:p>
    <w:p w14:paraId="657BAEC7">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（一）暑期“三下乡”社会实践、寒假返乡调研等社会实践团队获奖</w:t>
      </w:r>
    </w:p>
    <w:p w14:paraId="7178F220">
      <w:pPr>
        <w:tabs>
          <w:tab w:val="left" w:pos="5685"/>
        </w:tabs>
        <w:rPr>
          <w:rFonts w:hint="eastAsia"/>
        </w:rPr>
      </w:pPr>
      <w:r>
        <w:rPr>
          <w:rFonts w:hint="eastAsia"/>
        </w:rPr>
        <w:tab/>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7"/>
        <w:gridCol w:w="3261"/>
      </w:tblGrid>
      <w:tr w14:paraId="321F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54ECF04B">
            <w:pPr>
              <w:pStyle w:val="7"/>
              <w:spacing w:line="560" w:lineRule="exact"/>
              <w:jc w:val="both"/>
              <w:rPr>
                <w:rFonts w:hint="eastAsia" w:ascii="仿宋_GB2312" w:eastAsia="仿宋_GB2312"/>
                <w:sz w:val="32"/>
                <w:szCs w:val="32"/>
              </w:rPr>
            </w:pPr>
            <w:r>
              <w:rPr>
                <w:rFonts w:hint="eastAsia" w:ascii="仿宋_GB2312" w:eastAsia="仿宋_GB2312"/>
                <w:sz w:val="32"/>
                <w:szCs w:val="32"/>
              </w:rPr>
              <w:t>社会实践类别</w:t>
            </w:r>
          </w:p>
        </w:tc>
        <w:tc>
          <w:tcPr>
            <w:tcW w:w="3261" w:type="dxa"/>
            <w:vAlign w:val="center"/>
          </w:tcPr>
          <w:p w14:paraId="20CB4B95">
            <w:pPr>
              <w:pStyle w:val="7"/>
              <w:spacing w:line="560" w:lineRule="exact"/>
              <w:jc w:val="both"/>
              <w:rPr>
                <w:rFonts w:hint="eastAsia" w:ascii="仿宋_GB2312" w:eastAsia="仿宋_GB2312"/>
                <w:sz w:val="32"/>
                <w:szCs w:val="32"/>
              </w:rPr>
            </w:pPr>
            <w:r>
              <w:rPr>
                <w:rFonts w:hint="eastAsia" w:ascii="仿宋_GB2312" w:eastAsia="仿宋_GB2312"/>
                <w:sz w:val="32"/>
                <w:szCs w:val="32"/>
              </w:rPr>
              <w:t>加分标准</w:t>
            </w:r>
          </w:p>
        </w:tc>
      </w:tr>
      <w:tr w14:paraId="3B55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78D56C95">
            <w:pPr>
              <w:pStyle w:val="7"/>
              <w:spacing w:line="560" w:lineRule="exact"/>
              <w:jc w:val="both"/>
              <w:rPr>
                <w:rFonts w:hint="eastAsia" w:ascii="仿宋_GB2312" w:eastAsia="仿宋_GB2312"/>
                <w:sz w:val="32"/>
                <w:szCs w:val="32"/>
              </w:rPr>
            </w:pPr>
            <w:r>
              <w:rPr>
                <w:rFonts w:hint="eastAsia" w:ascii="仿宋_GB2312" w:eastAsia="仿宋_GB2312"/>
                <w:sz w:val="32"/>
                <w:szCs w:val="32"/>
              </w:rPr>
              <w:t>国家级</w:t>
            </w:r>
          </w:p>
        </w:tc>
        <w:tc>
          <w:tcPr>
            <w:tcW w:w="3261" w:type="dxa"/>
            <w:vAlign w:val="center"/>
          </w:tcPr>
          <w:p w14:paraId="2EB39B32">
            <w:pPr>
              <w:pStyle w:val="7"/>
              <w:spacing w:line="560" w:lineRule="exact"/>
              <w:jc w:val="both"/>
              <w:rPr>
                <w:rFonts w:hint="eastAsia" w:ascii="仿宋_GB2312" w:eastAsia="仿宋_GB2312"/>
                <w:sz w:val="32"/>
                <w:szCs w:val="32"/>
              </w:rPr>
            </w:pPr>
            <w:r>
              <w:rPr>
                <w:rFonts w:hint="eastAsia" w:ascii="仿宋_GB2312" w:eastAsia="仿宋_GB2312"/>
                <w:sz w:val="32"/>
                <w:szCs w:val="32"/>
              </w:rPr>
              <w:t>0.5/人</w:t>
            </w:r>
          </w:p>
        </w:tc>
      </w:tr>
      <w:tr w14:paraId="6E39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60AC9AC2">
            <w:pPr>
              <w:pStyle w:val="7"/>
              <w:spacing w:line="560" w:lineRule="exact"/>
              <w:jc w:val="both"/>
              <w:rPr>
                <w:rFonts w:hint="eastAsia" w:ascii="仿宋_GB2312" w:eastAsia="仿宋_GB2312"/>
                <w:sz w:val="32"/>
                <w:szCs w:val="32"/>
              </w:rPr>
            </w:pPr>
            <w:r>
              <w:rPr>
                <w:rFonts w:hint="eastAsia" w:ascii="仿宋_GB2312" w:eastAsia="仿宋_GB2312"/>
                <w:sz w:val="32"/>
                <w:szCs w:val="32"/>
              </w:rPr>
              <w:t>省部级</w:t>
            </w:r>
          </w:p>
        </w:tc>
        <w:tc>
          <w:tcPr>
            <w:tcW w:w="3261" w:type="dxa"/>
            <w:vAlign w:val="center"/>
          </w:tcPr>
          <w:p w14:paraId="58B9E2A9">
            <w:pPr>
              <w:pStyle w:val="7"/>
              <w:spacing w:line="560" w:lineRule="exact"/>
              <w:jc w:val="both"/>
              <w:rPr>
                <w:rFonts w:hint="eastAsia" w:ascii="仿宋_GB2312" w:eastAsia="仿宋_GB2312"/>
                <w:sz w:val="32"/>
                <w:szCs w:val="32"/>
              </w:rPr>
            </w:pPr>
            <w:r>
              <w:rPr>
                <w:rFonts w:hint="eastAsia" w:ascii="仿宋_GB2312" w:eastAsia="仿宋_GB2312"/>
                <w:sz w:val="32"/>
                <w:szCs w:val="32"/>
              </w:rPr>
              <w:t>0.3</w:t>
            </w:r>
            <w:bookmarkStart w:id="9" w:name="OLE_LINK7"/>
            <w:r>
              <w:rPr>
                <w:rFonts w:hint="eastAsia" w:ascii="仿宋_GB2312" w:eastAsia="仿宋_GB2312"/>
                <w:sz w:val="32"/>
                <w:szCs w:val="32"/>
              </w:rPr>
              <w:t>/人</w:t>
            </w:r>
            <w:bookmarkEnd w:id="9"/>
          </w:p>
        </w:tc>
      </w:tr>
      <w:tr w14:paraId="73F7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3125BDFC">
            <w:pPr>
              <w:pStyle w:val="7"/>
              <w:spacing w:line="560" w:lineRule="exact"/>
              <w:jc w:val="both"/>
              <w:rPr>
                <w:rFonts w:hint="eastAsia" w:ascii="仿宋_GB2312" w:eastAsia="仿宋_GB2312"/>
                <w:sz w:val="32"/>
                <w:szCs w:val="32"/>
              </w:rPr>
            </w:pPr>
            <w:r>
              <w:rPr>
                <w:rFonts w:hint="eastAsia" w:ascii="仿宋_GB2312" w:eastAsia="仿宋_GB2312"/>
                <w:sz w:val="32"/>
                <w:szCs w:val="32"/>
              </w:rPr>
              <w:t>市级</w:t>
            </w:r>
          </w:p>
        </w:tc>
        <w:tc>
          <w:tcPr>
            <w:tcW w:w="3261" w:type="dxa"/>
            <w:vAlign w:val="center"/>
          </w:tcPr>
          <w:p w14:paraId="0FF6390D">
            <w:pPr>
              <w:pStyle w:val="7"/>
              <w:spacing w:line="560" w:lineRule="exact"/>
              <w:jc w:val="both"/>
              <w:rPr>
                <w:rFonts w:hint="eastAsia" w:ascii="仿宋_GB2312" w:eastAsia="仿宋_GB2312"/>
                <w:sz w:val="32"/>
                <w:szCs w:val="32"/>
              </w:rPr>
            </w:pPr>
            <w:r>
              <w:rPr>
                <w:rFonts w:hint="eastAsia" w:ascii="仿宋_GB2312" w:eastAsia="仿宋_GB2312"/>
                <w:sz w:val="32"/>
                <w:szCs w:val="32"/>
              </w:rPr>
              <w:t>0.15/人</w:t>
            </w:r>
          </w:p>
        </w:tc>
      </w:tr>
      <w:tr w14:paraId="6399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2848E522">
            <w:pPr>
              <w:pStyle w:val="7"/>
              <w:spacing w:line="560" w:lineRule="exact"/>
              <w:jc w:val="both"/>
              <w:rPr>
                <w:rFonts w:hint="eastAsia" w:ascii="仿宋_GB2312" w:eastAsia="仿宋_GB2312"/>
                <w:sz w:val="32"/>
                <w:szCs w:val="32"/>
              </w:rPr>
            </w:pPr>
            <w:r>
              <w:rPr>
                <w:rFonts w:hint="eastAsia" w:ascii="仿宋_GB2312" w:eastAsia="仿宋_GB2312"/>
                <w:sz w:val="32"/>
                <w:szCs w:val="32"/>
              </w:rPr>
              <w:t>校级</w:t>
            </w:r>
          </w:p>
        </w:tc>
        <w:tc>
          <w:tcPr>
            <w:tcW w:w="3261" w:type="dxa"/>
            <w:vAlign w:val="center"/>
          </w:tcPr>
          <w:p w14:paraId="0F8B0705">
            <w:pPr>
              <w:pStyle w:val="7"/>
              <w:spacing w:line="560" w:lineRule="exact"/>
              <w:jc w:val="both"/>
              <w:rPr>
                <w:rFonts w:hint="eastAsia" w:ascii="仿宋_GB2312" w:eastAsia="仿宋_GB2312"/>
                <w:sz w:val="32"/>
                <w:szCs w:val="32"/>
              </w:rPr>
            </w:pPr>
            <w:r>
              <w:rPr>
                <w:rFonts w:hint="eastAsia" w:ascii="仿宋_GB2312" w:eastAsia="仿宋_GB2312"/>
                <w:sz w:val="32"/>
                <w:szCs w:val="32"/>
              </w:rPr>
              <w:t>0.08/人</w:t>
            </w:r>
          </w:p>
        </w:tc>
      </w:tr>
      <w:tr w14:paraId="2678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0231D476">
            <w:pPr>
              <w:pStyle w:val="7"/>
              <w:spacing w:line="560" w:lineRule="exact"/>
              <w:jc w:val="both"/>
              <w:rPr>
                <w:rFonts w:hint="eastAsia" w:ascii="仿宋_GB2312" w:eastAsia="仿宋_GB2312"/>
                <w:sz w:val="32"/>
                <w:szCs w:val="32"/>
              </w:rPr>
            </w:pPr>
            <w:r>
              <w:rPr>
                <w:rFonts w:hint="eastAsia" w:ascii="仿宋_GB2312" w:eastAsia="仿宋_GB2312"/>
                <w:sz w:val="32"/>
                <w:szCs w:val="32"/>
              </w:rPr>
              <w:t>院级（校区级）</w:t>
            </w:r>
          </w:p>
        </w:tc>
        <w:tc>
          <w:tcPr>
            <w:tcW w:w="3261" w:type="dxa"/>
            <w:vAlign w:val="center"/>
          </w:tcPr>
          <w:p w14:paraId="4CB06751">
            <w:pPr>
              <w:pStyle w:val="7"/>
              <w:spacing w:line="560" w:lineRule="exact"/>
              <w:jc w:val="both"/>
              <w:rPr>
                <w:rFonts w:hint="eastAsia" w:ascii="仿宋_GB2312" w:eastAsia="仿宋_GB2312"/>
                <w:sz w:val="32"/>
                <w:szCs w:val="32"/>
              </w:rPr>
            </w:pPr>
            <w:r>
              <w:rPr>
                <w:rFonts w:hint="eastAsia" w:ascii="仿宋_GB2312" w:eastAsia="仿宋_GB2312"/>
                <w:sz w:val="32"/>
                <w:szCs w:val="32"/>
              </w:rPr>
              <w:t>0.05/人</w:t>
            </w:r>
          </w:p>
        </w:tc>
      </w:tr>
    </w:tbl>
    <w:p w14:paraId="4E6E8640">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（二）志愿服务</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7"/>
        <w:gridCol w:w="3261"/>
      </w:tblGrid>
      <w:tr w14:paraId="7ADC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012130C7">
            <w:pPr>
              <w:pStyle w:val="7"/>
              <w:spacing w:line="560" w:lineRule="exact"/>
              <w:jc w:val="both"/>
              <w:rPr>
                <w:rFonts w:hint="eastAsia" w:ascii="仿宋_GB2312" w:eastAsia="仿宋_GB2312"/>
                <w:sz w:val="32"/>
                <w:szCs w:val="32"/>
              </w:rPr>
            </w:pPr>
            <w:r>
              <w:rPr>
                <w:rFonts w:hint="eastAsia" w:ascii="仿宋_GB2312" w:eastAsia="仿宋_GB2312"/>
                <w:sz w:val="32"/>
                <w:szCs w:val="32"/>
              </w:rPr>
              <w:t>社会实践类别</w:t>
            </w:r>
          </w:p>
        </w:tc>
        <w:tc>
          <w:tcPr>
            <w:tcW w:w="3261" w:type="dxa"/>
            <w:vAlign w:val="center"/>
          </w:tcPr>
          <w:p w14:paraId="7158E881">
            <w:pPr>
              <w:pStyle w:val="7"/>
              <w:spacing w:line="560" w:lineRule="exact"/>
              <w:jc w:val="both"/>
              <w:rPr>
                <w:rFonts w:hint="eastAsia" w:ascii="仿宋_GB2312" w:eastAsia="仿宋_GB2312"/>
                <w:sz w:val="32"/>
                <w:szCs w:val="32"/>
              </w:rPr>
            </w:pPr>
            <w:r>
              <w:rPr>
                <w:rFonts w:hint="eastAsia" w:ascii="仿宋_GB2312" w:eastAsia="仿宋_GB2312"/>
                <w:sz w:val="32"/>
                <w:szCs w:val="32"/>
              </w:rPr>
              <w:t>加分标准</w:t>
            </w:r>
          </w:p>
        </w:tc>
      </w:tr>
      <w:tr w14:paraId="3767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7A6BCA83">
            <w:pPr>
              <w:pStyle w:val="7"/>
              <w:spacing w:line="560" w:lineRule="exact"/>
              <w:jc w:val="both"/>
              <w:rPr>
                <w:rFonts w:hint="eastAsia" w:ascii="仿宋_GB2312" w:eastAsia="仿宋_GB2312"/>
                <w:sz w:val="32"/>
                <w:szCs w:val="32"/>
              </w:rPr>
            </w:pPr>
            <w:r>
              <w:rPr>
                <w:rFonts w:hint="eastAsia" w:ascii="仿宋_GB2312" w:eastAsia="仿宋_GB2312"/>
                <w:sz w:val="32"/>
                <w:szCs w:val="32"/>
              </w:rPr>
              <w:t>五星志愿者</w:t>
            </w:r>
          </w:p>
        </w:tc>
        <w:tc>
          <w:tcPr>
            <w:tcW w:w="3261" w:type="dxa"/>
            <w:vAlign w:val="center"/>
          </w:tcPr>
          <w:p w14:paraId="14450897">
            <w:pPr>
              <w:pStyle w:val="7"/>
              <w:spacing w:line="560" w:lineRule="exact"/>
              <w:jc w:val="both"/>
              <w:rPr>
                <w:rFonts w:hint="eastAsia" w:ascii="仿宋_GB2312" w:eastAsia="仿宋_GB2312"/>
                <w:sz w:val="32"/>
                <w:szCs w:val="32"/>
              </w:rPr>
            </w:pPr>
            <w:r>
              <w:rPr>
                <w:rFonts w:hint="eastAsia" w:ascii="仿宋_GB2312" w:eastAsia="仿宋_GB2312"/>
                <w:sz w:val="32"/>
                <w:szCs w:val="32"/>
              </w:rPr>
              <w:t>0.2</w:t>
            </w:r>
          </w:p>
        </w:tc>
      </w:tr>
      <w:tr w14:paraId="0395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10E3BF23">
            <w:pPr>
              <w:pStyle w:val="7"/>
              <w:spacing w:line="560" w:lineRule="exact"/>
              <w:jc w:val="both"/>
              <w:rPr>
                <w:rFonts w:hint="eastAsia" w:ascii="仿宋_GB2312" w:eastAsia="仿宋_GB2312"/>
                <w:sz w:val="32"/>
                <w:szCs w:val="32"/>
              </w:rPr>
            </w:pPr>
            <w:r>
              <w:rPr>
                <w:rFonts w:hint="eastAsia" w:ascii="仿宋_GB2312" w:eastAsia="仿宋_GB2312"/>
                <w:sz w:val="32"/>
                <w:szCs w:val="32"/>
              </w:rPr>
              <w:t>四星志愿者</w:t>
            </w:r>
          </w:p>
        </w:tc>
        <w:tc>
          <w:tcPr>
            <w:tcW w:w="3261" w:type="dxa"/>
            <w:vAlign w:val="center"/>
          </w:tcPr>
          <w:p w14:paraId="0C285D70">
            <w:pPr>
              <w:pStyle w:val="7"/>
              <w:spacing w:line="560" w:lineRule="exact"/>
              <w:jc w:val="both"/>
              <w:rPr>
                <w:rFonts w:hint="eastAsia" w:ascii="仿宋_GB2312" w:eastAsia="仿宋_GB2312"/>
                <w:sz w:val="32"/>
                <w:szCs w:val="32"/>
              </w:rPr>
            </w:pPr>
            <w:r>
              <w:rPr>
                <w:rFonts w:hint="eastAsia" w:ascii="仿宋_GB2312" w:eastAsia="仿宋_GB2312"/>
                <w:sz w:val="32"/>
                <w:szCs w:val="32"/>
              </w:rPr>
              <w:t>0.1</w:t>
            </w:r>
          </w:p>
        </w:tc>
      </w:tr>
      <w:tr w14:paraId="7745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397" w:type="dxa"/>
            <w:vAlign w:val="center"/>
          </w:tcPr>
          <w:p w14:paraId="0F351D53">
            <w:pPr>
              <w:pStyle w:val="7"/>
              <w:spacing w:line="560" w:lineRule="exact"/>
              <w:jc w:val="both"/>
              <w:rPr>
                <w:rFonts w:hint="eastAsia" w:ascii="仿宋_GB2312" w:eastAsia="仿宋_GB2312"/>
                <w:sz w:val="32"/>
                <w:szCs w:val="32"/>
              </w:rPr>
            </w:pPr>
            <w:r>
              <w:rPr>
                <w:rFonts w:hint="eastAsia" w:ascii="仿宋_GB2312" w:eastAsia="仿宋_GB2312"/>
                <w:sz w:val="32"/>
                <w:szCs w:val="32"/>
              </w:rPr>
              <w:t>三星志愿者</w:t>
            </w:r>
          </w:p>
        </w:tc>
        <w:tc>
          <w:tcPr>
            <w:tcW w:w="3261" w:type="dxa"/>
            <w:vAlign w:val="center"/>
          </w:tcPr>
          <w:p w14:paraId="03B2A3DE">
            <w:pPr>
              <w:pStyle w:val="7"/>
              <w:spacing w:line="560" w:lineRule="exact"/>
              <w:jc w:val="both"/>
              <w:rPr>
                <w:rFonts w:hint="eastAsia" w:ascii="仿宋_GB2312" w:eastAsia="仿宋_GB2312"/>
                <w:sz w:val="32"/>
                <w:szCs w:val="32"/>
              </w:rPr>
            </w:pPr>
            <w:r>
              <w:rPr>
                <w:rFonts w:hint="eastAsia" w:ascii="仿宋_GB2312" w:eastAsia="仿宋_GB2312"/>
                <w:sz w:val="32"/>
                <w:szCs w:val="32"/>
              </w:rPr>
              <w:t>0.05</w:t>
            </w:r>
          </w:p>
        </w:tc>
      </w:tr>
    </w:tbl>
    <w:p w14:paraId="525ABB05">
      <w:pPr>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（三）代表校区参加学校大型集体活动的，由指导老师确定，报综合奖学金评定小组备案，每项可加0.05。</w:t>
      </w:r>
    </w:p>
    <w:p w14:paraId="7DC596F7">
      <w:pPr>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（四）其他类累积加分不超过0.5分。</w:t>
      </w:r>
    </w:p>
    <w:p w14:paraId="203D6E01">
      <w:pPr>
        <w:spacing w:line="560" w:lineRule="exact"/>
        <w:ind w:firstLine="643" w:firstLineChars="200"/>
        <w:jc w:val="both"/>
        <w:rPr>
          <w:rFonts w:hint="eastAsia" w:ascii="仿宋_GB2312" w:eastAsia="仿宋_GB2312" w:cs="Times New Roman"/>
          <w:b/>
          <w:bCs/>
          <w:sz w:val="32"/>
          <w:szCs w:val="32"/>
        </w:rPr>
      </w:pPr>
      <w:r>
        <w:rPr>
          <w:rFonts w:hint="eastAsia" w:ascii="仿宋_GB2312" w:eastAsia="仿宋_GB2312" w:cs="Times New Roman"/>
          <w:b/>
          <w:bCs/>
          <w:sz w:val="32"/>
          <w:szCs w:val="32"/>
        </w:rPr>
        <w:t>六、发展性评价成果取得的时间范围</w:t>
      </w:r>
    </w:p>
    <w:p w14:paraId="6FB1E1F8">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发展性评价成果应在每学年9月1日至翌年8月31日，以此时间范围内证书盖章时间为准，进行审核。若有特例，学生另行申请，由评审小组审核。</w:t>
      </w:r>
    </w:p>
    <w:p w14:paraId="1636DD7C">
      <w:pPr>
        <w:spacing w:line="560" w:lineRule="exact"/>
        <w:ind w:firstLine="643" w:firstLineChars="200"/>
        <w:jc w:val="both"/>
        <w:rPr>
          <w:rFonts w:hint="eastAsia" w:ascii="仿宋_GB2312" w:eastAsia="仿宋_GB2312" w:cs="Times New Roman"/>
          <w:b/>
          <w:bCs/>
          <w:sz w:val="32"/>
          <w:szCs w:val="32"/>
        </w:rPr>
      </w:pPr>
      <w:r>
        <w:rPr>
          <w:rFonts w:hint="eastAsia" w:ascii="仿宋_GB2312" w:eastAsia="仿宋_GB2312" w:cs="Times New Roman"/>
          <w:b/>
          <w:bCs/>
          <w:sz w:val="32"/>
          <w:szCs w:val="32"/>
        </w:rPr>
        <w:t>七、其他</w:t>
      </w:r>
    </w:p>
    <w:p w14:paraId="51DB9139">
      <w:pPr>
        <w:pStyle w:val="7"/>
        <w:spacing w:line="560" w:lineRule="exact"/>
        <w:ind w:firstLine="508"/>
        <w:jc w:val="both"/>
        <w:rPr>
          <w:rFonts w:hint="eastAsia" w:ascii="仿宋_GB2312" w:eastAsia="仿宋_GB2312"/>
          <w:sz w:val="32"/>
          <w:szCs w:val="32"/>
        </w:rPr>
      </w:pPr>
      <w:r>
        <w:rPr>
          <w:rFonts w:hint="eastAsia" w:ascii="仿宋_GB2312" w:eastAsia="仿宋_GB2312"/>
          <w:sz w:val="32"/>
          <w:szCs w:val="32"/>
        </w:rPr>
        <w:t>（一）发展性评价情况将在</w:t>
      </w:r>
      <w:r>
        <w:rPr>
          <w:rFonts w:hint="eastAsia" w:ascii="仿宋_GB2312" w:eastAsia="仿宋_GB2312"/>
          <w:sz w:val="32"/>
          <w:szCs w:val="32"/>
          <w:lang w:val="en-US"/>
        </w:rPr>
        <w:t>校区官网</w:t>
      </w:r>
      <w:r>
        <w:rPr>
          <w:rFonts w:hint="eastAsia" w:ascii="仿宋_GB2312" w:eastAsia="仿宋_GB2312"/>
          <w:sz w:val="32"/>
          <w:szCs w:val="32"/>
        </w:rPr>
        <w:t>等进行公示，有异议者应在规定时间内向</w:t>
      </w:r>
      <w:r>
        <w:rPr>
          <w:rFonts w:hint="eastAsia" w:ascii="仿宋_GB2312" w:eastAsia="仿宋_GB2312"/>
          <w:sz w:val="32"/>
          <w:szCs w:val="32"/>
          <w:lang w:val="en-US"/>
        </w:rPr>
        <w:t>学生管理办公室</w:t>
      </w:r>
      <w:r>
        <w:rPr>
          <w:rFonts w:hint="eastAsia" w:ascii="仿宋_GB2312" w:eastAsia="仿宋_GB2312"/>
          <w:sz w:val="32"/>
          <w:szCs w:val="32"/>
        </w:rPr>
        <w:t>提出。</w:t>
      </w:r>
    </w:p>
    <w:p w14:paraId="2D8A1586">
      <w:pPr>
        <w:pStyle w:val="7"/>
        <w:spacing w:line="560" w:lineRule="exact"/>
        <w:ind w:firstLine="508"/>
        <w:jc w:val="both"/>
        <w:rPr>
          <w:rFonts w:hint="eastAsia" w:ascii="仿宋_GB2312" w:eastAsia="仿宋_GB2312"/>
          <w:sz w:val="32"/>
          <w:szCs w:val="32"/>
        </w:rPr>
      </w:pPr>
      <w:r>
        <w:rPr>
          <w:rFonts w:hint="eastAsia" w:ascii="仿宋_GB2312" w:eastAsia="仿宋_GB2312"/>
          <w:sz w:val="32"/>
          <w:szCs w:val="32"/>
        </w:rPr>
        <w:t>（二）本细则由</w:t>
      </w:r>
      <w:r>
        <w:rPr>
          <w:rFonts w:hint="eastAsia" w:ascii="仿宋_GB2312" w:eastAsia="仿宋_GB2312"/>
          <w:sz w:val="32"/>
          <w:szCs w:val="32"/>
          <w:lang w:val="en-US"/>
        </w:rPr>
        <w:t>峨眉校区管委会</w:t>
      </w:r>
      <w:r>
        <w:rPr>
          <w:rFonts w:hint="eastAsia" w:ascii="仿宋_GB2312" w:eastAsia="仿宋_GB2312"/>
          <w:sz w:val="32"/>
          <w:szCs w:val="32"/>
        </w:rPr>
        <w:t>授权</w:t>
      </w:r>
      <w:r>
        <w:rPr>
          <w:rFonts w:hint="eastAsia" w:ascii="仿宋_GB2312" w:eastAsia="仿宋_GB2312"/>
          <w:sz w:val="32"/>
          <w:szCs w:val="32"/>
          <w:lang w:val="en-US"/>
        </w:rPr>
        <w:t>学生管理办公室</w:t>
      </w:r>
      <w:r>
        <w:rPr>
          <w:rFonts w:hint="eastAsia" w:ascii="仿宋_GB2312" w:eastAsia="仿宋_GB2312"/>
          <w:sz w:val="32"/>
          <w:szCs w:val="32"/>
        </w:rPr>
        <w:t>负责解释。</w:t>
      </w:r>
    </w:p>
    <w:sectPr>
      <w:headerReference r:id="rId3" w:type="default"/>
      <w:footerReference r:id="rId4" w:type="default"/>
      <w:pgSz w:w="11920" w:h="16860"/>
      <w:pgMar w:top="1440" w:right="1800" w:bottom="1440" w:left="1800" w:header="0" w:footer="851"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AC3F3">
    <w:pPr>
      <w:pStyle w:val="9"/>
      <w:numPr>
        <w:ilvl w:val="0"/>
        <w:numId w:val="1"/>
      </w:numPr>
      <w:jc w:val="center"/>
      <w:rPr>
        <w:rFonts w:hint="eastAsia"/>
      </w:rPr>
    </w:pPr>
    <w:r>
      <w:rPr>
        <w:rFonts w:hint="eastAsia"/>
      </w:rPr>
      <w:t xml:space="preserve"> </w:t>
    </w:r>
    <w:sdt>
      <w:sdtPr>
        <w:id w:val="-795607361"/>
        <w:docPartObj>
          <w:docPartGallery w:val="AutoText"/>
        </w:docPartObj>
      </w:sdtPr>
      <w:sdtContent>
        <w:r>
          <w:rPr>
            <w:sz w:val="28"/>
            <w:szCs w:val="28"/>
          </w:rPr>
          <w:fldChar w:fldCharType="begin"/>
        </w:r>
        <w:r>
          <w:rPr>
            <w:sz w:val="28"/>
            <w:szCs w:val="28"/>
          </w:rPr>
          <w:instrText xml:space="preserve">PAGE   \* MERGEFORMAT</w:instrText>
        </w:r>
        <w:r>
          <w:rPr>
            <w:sz w:val="28"/>
            <w:szCs w:val="28"/>
          </w:rPr>
          <w:fldChar w:fldCharType="separate"/>
        </w:r>
        <w:r>
          <w:rPr>
            <w:sz w:val="28"/>
            <w:szCs w:val="28"/>
          </w:rPr>
          <w:t>2</w:t>
        </w:r>
        <w:r>
          <w:rPr>
            <w:sz w:val="28"/>
            <w:szCs w:val="28"/>
          </w:rPr>
          <w:fldChar w:fldCharType="end"/>
        </w:r>
        <w:r>
          <w:rPr>
            <w:rFonts w:hint="eastAsia"/>
            <w:sz w:val="28"/>
            <w:szCs w:val="28"/>
          </w:rPr>
          <w:t xml:space="preserve"> </w:t>
        </w:r>
        <w:r>
          <w:rPr>
            <w:rFonts w:hint="eastAsia" w:ascii="仿宋_GB2312" w:hAnsi="仿宋_GB2312" w:eastAsia="仿宋_GB2312" w:cs="仿宋_GB2312"/>
            <w:sz w:val="32"/>
            <w:szCs w:val="32"/>
          </w:rPr>
          <w:t>—</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868C3">
    <w:pPr>
      <w:pStyle w:val="10"/>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CB0F7E"/>
    <w:multiLevelType w:val="multilevel"/>
    <w:tmpl w:val="04CB0F7E"/>
    <w:lvl w:ilvl="0" w:tentative="0">
      <w:start w:val="2"/>
      <w:numFmt w:val="bullet"/>
      <w:lvlText w:val="—"/>
      <w:lvlJc w:val="left"/>
      <w:pPr>
        <w:ind w:left="360" w:hanging="360"/>
      </w:pPr>
      <w:rPr>
        <w:rFonts w:hint="eastAsia" w:ascii="仿宋_GB2312" w:hAnsi="仿宋_GB2312" w:eastAsia="仿宋_GB2312" w:cs="仿宋_GB2312"/>
        <w:sz w:val="32"/>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VkY2M0MDRjOGMzNTM0YTJmNDE2NDE2NjY2MmZiMWEifQ=="/>
    <w:docVar w:name="KSO_WPS_MARK_KEY" w:val="03fbda28-c527-41c7-8aca-cc35f06b12ee"/>
  </w:docVars>
  <w:rsids>
    <w:rsidRoot w:val="00E76258"/>
    <w:rsid w:val="00010CCC"/>
    <w:rsid w:val="00026865"/>
    <w:rsid w:val="00035B67"/>
    <w:rsid w:val="00037C81"/>
    <w:rsid w:val="00037FB4"/>
    <w:rsid w:val="00041969"/>
    <w:rsid w:val="00041ABD"/>
    <w:rsid w:val="00046CAE"/>
    <w:rsid w:val="000758DF"/>
    <w:rsid w:val="00082FD7"/>
    <w:rsid w:val="0008310B"/>
    <w:rsid w:val="000A7037"/>
    <w:rsid w:val="000A7102"/>
    <w:rsid w:val="000A7180"/>
    <w:rsid w:val="000B6EBE"/>
    <w:rsid w:val="000C6FBB"/>
    <w:rsid w:val="000F38EF"/>
    <w:rsid w:val="000F7E90"/>
    <w:rsid w:val="00110F71"/>
    <w:rsid w:val="00125D0E"/>
    <w:rsid w:val="001332CB"/>
    <w:rsid w:val="00153491"/>
    <w:rsid w:val="00153D62"/>
    <w:rsid w:val="001957CA"/>
    <w:rsid w:val="001F6C99"/>
    <w:rsid w:val="00202D0A"/>
    <w:rsid w:val="0022617C"/>
    <w:rsid w:val="002300C7"/>
    <w:rsid w:val="00231751"/>
    <w:rsid w:val="0026040F"/>
    <w:rsid w:val="0026552A"/>
    <w:rsid w:val="002714BD"/>
    <w:rsid w:val="002829EA"/>
    <w:rsid w:val="002905F6"/>
    <w:rsid w:val="002B28BE"/>
    <w:rsid w:val="002D5B51"/>
    <w:rsid w:val="002E34E4"/>
    <w:rsid w:val="002E4021"/>
    <w:rsid w:val="002E59D9"/>
    <w:rsid w:val="00306EC4"/>
    <w:rsid w:val="00310B52"/>
    <w:rsid w:val="00351DAB"/>
    <w:rsid w:val="00383D75"/>
    <w:rsid w:val="003A69B8"/>
    <w:rsid w:val="003D22B0"/>
    <w:rsid w:val="003D43CD"/>
    <w:rsid w:val="003E040E"/>
    <w:rsid w:val="003E6617"/>
    <w:rsid w:val="003F065A"/>
    <w:rsid w:val="003F5129"/>
    <w:rsid w:val="00415FBD"/>
    <w:rsid w:val="00421158"/>
    <w:rsid w:val="00430AF7"/>
    <w:rsid w:val="004329C0"/>
    <w:rsid w:val="00445ED3"/>
    <w:rsid w:val="00450FF0"/>
    <w:rsid w:val="00481D67"/>
    <w:rsid w:val="004865DC"/>
    <w:rsid w:val="004B1085"/>
    <w:rsid w:val="004B6291"/>
    <w:rsid w:val="004C22FF"/>
    <w:rsid w:val="004F2F4E"/>
    <w:rsid w:val="0051199C"/>
    <w:rsid w:val="00512AC2"/>
    <w:rsid w:val="0052046B"/>
    <w:rsid w:val="005216DC"/>
    <w:rsid w:val="005264B4"/>
    <w:rsid w:val="00567AB1"/>
    <w:rsid w:val="00575EEA"/>
    <w:rsid w:val="00587F00"/>
    <w:rsid w:val="005A4F63"/>
    <w:rsid w:val="005B306A"/>
    <w:rsid w:val="005D5300"/>
    <w:rsid w:val="00632FCC"/>
    <w:rsid w:val="00641275"/>
    <w:rsid w:val="00652C64"/>
    <w:rsid w:val="0066464E"/>
    <w:rsid w:val="00666DF1"/>
    <w:rsid w:val="006747D6"/>
    <w:rsid w:val="00675C6F"/>
    <w:rsid w:val="00683562"/>
    <w:rsid w:val="006C0A11"/>
    <w:rsid w:val="006C70ED"/>
    <w:rsid w:val="006E2EB2"/>
    <w:rsid w:val="006F7A4A"/>
    <w:rsid w:val="007029AC"/>
    <w:rsid w:val="00707C4E"/>
    <w:rsid w:val="00710BC2"/>
    <w:rsid w:val="0073642C"/>
    <w:rsid w:val="0074262F"/>
    <w:rsid w:val="00742643"/>
    <w:rsid w:val="007435FC"/>
    <w:rsid w:val="00754B0E"/>
    <w:rsid w:val="00780EAF"/>
    <w:rsid w:val="0079394C"/>
    <w:rsid w:val="00797312"/>
    <w:rsid w:val="007B2867"/>
    <w:rsid w:val="007E15C4"/>
    <w:rsid w:val="007F7AA2"/>
    <w:rsid w:val="00815B0A"/>
    <w:rsid w:val="00820D3F"/>
    <w:rsid w:val="008249E9"/>
    <w:rsid w:val="008349FD"/>
    <w:rsid w:val="008439FD"/>
    <w:rsid w:val="00860FF9"/>
    <w:rsid w:val="008647F9"/>
    <w:rsid w:val="008833FD"/>
    <w:rsid w:val="008B5653"/>
    <w:rsid w:val="008B5AEC"/>
    <w:rsid w:val="008D0C8A"/>
    <w:rsid w:val="009167C9"/>
    <w:rsid w:val="009500AF"/>
    <w:rsid w:val="00951F4B"/>
    <w:rsid w:val="00954418"/>
    <w:rsid w:val="00960E07"/>
    <w:rsid w:val="0099116C"/>
    <w:rsid w:val="009D0DB6"/>
    <w:rsid w:val="009E5153"/>
    <w:rsid w:val="009F68D3"/>
    <w:rsid w:val="00A01BBE"/>
    <w:rsid w:val="00A13199"/>
    <w:rsid w:val="00A15488"/>
    <w:rsid w:val="00A40D34"/>
    <w:rsid w:val="00A44CE7"/>
    <w:rsid w:val="00A46780"/>
    <w:rsid w:val="00A56670"/>
    <w:rsid w:val="00A65D1C"/>
    <w:rsid w:val="00A82E9B"/>
    <w:rsid w:val="00A84C77"/>
    <w:rsid w:val="00AB52AD"/>
    <w:rsid w:val="00AB6988"/>
    <w:rsid w:val="00AD3034"/>
    <w:rsid w:val="00AE07E5"/>
    <w:rsid w:val="00AE62A3"/>
    <w:rsid w:val="00AF0F3B"/>
    <w:rsid w:val="00AF73A9"/>
    <w:rsid w:val="00B24BA5"/>
    <w:rsid w:val="00B25B4D"/>
    <w:rsid w:val="00B31753"/>
    <w:rsid w:val="00B57671"/>
    <w:rsid w:val="00B6375F"/>
    <w:rsid w:val="00B66E0F"/>
    <w:rsid w:val="00B74950"/>
    <w:rsid w:val="00B85081"/>
    <w:rsid w:val="00BA4062"/>
    <w:rsid w:val="00BA6349"/>
    <w:rsid w:val="00BB19C4"/>
    <w:rsid w:val="00BB1C3D"/>
    <w:rsid w:val="00BE3485"/>
    <w:rsid w:val="00BF58C8"/>
    <w:rsid w:val="00C07B54"/>
    <w:rsid w:val="00C21EC8"/>
    <w:rsid w:val="00C314F4"/>
    <w:rsid w:val="00C44A50"/>
    <w:rsid w:val="00C7320A"/>
    <w:rsid w:val="00C8056B"/>
    <w:rsid w:val="00C81A69"/>
    <w:rsid w:val="00CA2F63"/>
    <w:rsid w:val="00CB0E76"/>
    <w:rsid w:val="00CB1DA8"/>
    <w:rsid w:val="00CC273F"/>
    <w:rsid w:val="00CC2CD4"/>
    <w:rsid w:val="00CC4E26"/>
    <w:rsid w:val="00CD3CE2"/>
    <w:rsid w:val="00CE44BE"/>
    <w:rsid w:val="00D0074B"/>
    <w:rsid w:val="00D055CE"/>
    <w:rsid w:val="00D05ECF"/>
    <w:rsid w:val="00D12D2C"/>
    <w:rsid w:val="00D41860"/>
    <w:rsid w:val="00D74DED"/>
    <w:rsid w:val="00D83070"/>
    <w:rsid w:val="00D91FED"/>
    <w:rsid w:val="00D942A5"/>
    <w:rsid w:val="00D97CF9"/>
    <w:rsid w:val="00DA3B98"/>
    <w:rsid w:val="00DC5C85"/>
    <w:rsid w:val="00DF4F4A"/>
    <w:rsid w:val="00E02D22"/>
    <w:rsid w:val="00E04C4C"/>
    <w:rsid w:val="00E10E57"/>
    <w:rsid w:val="00E14923"/>
    <w:rsid w:val="00E37412"/>
    <w:rsid w:val="00E6310D"/>
    <w:rsid w:val="00E7039E"/>
    <w:rsid w:val="00E74168"/>
    <w:rsid w:val="00E74539"/>
    <w:rsid w:val="00E76258"/>
    <w:rsid w:val="00E8242F"/>
    <w:rsid w:val="00E82DCE"/>
    <w:rsid w:val="00E83F6D"/>
    <w:rsid w:val="00E8623A"/>
    <w:rsid w:val="00EB2B66"/>
    <w:rsid w:val="00EC42D4"/>
    <w:rsid w:val="00EF2C6E"/>
    <w:rsid w:val="00EF5F14"/>
    <w:rsid w:val="00F111B1"/>
    <w:rsid w:val="00F22B79"/>
    <w:rsid w:val="00F56E64"/>
    <w:rsid w:val="00F655A1"/>
    <w:rsid w:val="00F83F4D"/>
    <w:rsid w:val="00F94EDF"/>
    <w:rsid w:val="00FC0CF8"/>
    <w:rsid w:val="00FC5480"/>
    <w:rsid w:val="00FD60B8"/>
    <w:rsid w:val="00FE72D5"/>
    <w:rsid w:val="00FF0A05"/>
    <w:rsid w:val="2825466D"/>
    <w:rsid w:val="2C07011A"/>
    <w:rsid w:val="2EB02232"/>
    <w:rsid w:val="369D6F2B"/>
    <w:rsid w:val="38CD62A3"/>
    <w:rsid w:val="3E1B3A08"/>
    <w:rsid w:val="5E64095C"/>
    <w:rsid w:val="5F840694"/>
    <w:rsid w:val="75102D9D"/>
    <w:rsid w:val="76BE60CF"/>
    <w:rsid w:val="79074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30"/>
      <w:ind w:left="84"/>
      <w:jc w:val="center"/>
      <w:outlineLvl w:val="0"/>
    </w:pPr>
    <w:rPr>
      <w:rFonts w:ascii="黑体" w:hAnsi="黑体" w:eastAsia="黑体" w:cs="黑体"/>
      <w:b/>
      <w:bCs/>
      <w:sz w:val="32"/>
      <w:szCs w:val="32"/>
    </w:rPr>
  </w:style>
  <w:style w:type="paragraph" w:styleId="3">
    <w:name w:val="heading 2"/>
    <w:basedOn w:val="1"/>
    <w:next w:val="1"/>
    <w:qFormat/>
    <w:uiPriority w:val="1"/>
    <w:pPr>
      <w:ind w:left="61"/>
      <w:jc w:val="center"/>
      <w:outlineLvl w:val="1"/>
    </w:pPr>
    <w:rPr>
      <w:rFonts w:ascii="黑体" w:hAnsi="黑体" w:eastAsia="黑体" w:cs="黑体"/>
      <w:b/>
      <w:bCs/>
      <w:sz w:val="30"/>
      <w:szCs w:val="30"/>
    </w:rPr>
  </w:style>
  <w:style w:type="paragraph" w:styleId="4">
    <w:name w:val="heading 3"/>
    <w:basedOn w:val="1"/>
    <w:next w:val="1"/>
    <w:qFormat/>
    <w:uiPriority w:val="1"/>
    <w:pPr>
      <w:spacing w:before="1"/>
      <w:ind w:left="1242"/>
      <w:outlineLvl w:val="2"/>
    </w:pPr>
    <w:rPr>
      <w:rFonts w:ascii="黑体" w:hAnsi="黑体" w:eastAsia="黑体" w:cs="黑体"/>
      <w:b/>
      <w:bCs/>
      <w:sz w:val="28"/>
      <w:szCs w:val="28"/>
    </w:rPr>
  </w:style>
  <w:style w:type="paragraph" w:styleId="5">
    <w:name w:val="heading 4"/>
    <w:basedOn w:val="1"/>
    <w:next w:val="1"/>
    <w:qFormat/>
    <w:uiPriority w:val="1"/>
    <w:pPr>
      <w:spacing w:before="168"/>
      <w:ind w:left="1168"/>
      <w:outlineLvl w:val="3"/>
    </w:pPr>
    <w:rPr>
      <w:b/>
      <w:bCs/>
      <w:sz w:val="24"/>
      <w:szCs w:val="24"/>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6">
    <w:name w:val="annotation text"/>
    <w:basedOn w:val="1"/>
    <w:uiPriority w:val="0"/>
  </w:style>
  <w:style w:type="paragraph" w:styleId="7">
    <w:name w:val="Body Text"/>
    <w:basedOn w:val="1"/>
    <w:qFormat/>
    <w:uiPriority w:val="1"/>
    <w:rPr>
      <w:sz w:val="24"/>
      <w:szCs w:val="24"/>
    </w:rPr>
  </w:style>
  <w:style w:type="paragraph" w:styleId="8">
    <w:name w:val="Balloon Text"/>
    <w:basedOn w:val="1"/>
    <w:link w:val="23"/>
    <w:uiPriority w:val="0"/>
    <w:rPr>
      <w:sz w:val="18"/>
      <w:szCs w:val="18"/>
    </w:rPr>
  </w:style>
  <w:style w:type="paragraph" w:styleId="9">
    <w:name w:val="footer"/>
    <w:basedOn w:val="1"/>
    <w:link w:val="19"/>
    <w:qFormat/>
    <w:uiPriority w:val="99"/>
    <w:pPr>
      <w:tabs>
        <w:tab w:val="center" w:pos="4153"/>
        <w:tab w:val="right" w:pos="8306"/>
      </w:tabs>
      <w:snapToGrid w:val="0"/>
    </w:pPr>
    <w:rPr>
      <w:sz w:val="18"/>
      <w:szCs w:val="18"/>
    </w:rPr>
  </w:style>
  <w:style w:type="paragraph" w:styleId="10">
    <w:name w:val="header"/>
    <w:basedOn w:val="1"/>
    <w:link w:val="18"/>
    <w:qFormat/>
    <w:uiPriority w:val="0"/>
    <w:pPr>
      <w:tabs>
        <w:tab w:val="center" w:pos="4153"/>
        <w:tab w:val="right" w:pos="8306"/>
      </w:tabs>
      <w:snapToGrid w:val="0"/>
      <w:jc w:val="center"/>
    </w:pPr>
    <w:rPr>
      <w:sz w:val="18"/>
      <w:szCs w:val="18"/>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qFormat/>
    <w:uiPriority w:val="0"/>
    <w:rPr>
      <w:sz w:val="21"/>
      <w:szCs w:val="21"/>
    </w:rPr>
  </w:style>
  <w:style w:type="table" w:customStyle="1" w:styleId="15">
    <w:name w:val="Table Normal"/>
    <w:semiHidden/>
    <w:unhideWhenUsed/>
    <w:qFormat/>
    <w:uiPriority w:val="2"/>
    <w:tblPr>
      <w:tblCellMar>
        <w:top w:w="0" w:type="dxa"/>
        <w:left w:w="0" w:type="dxa"/>
        <w:bottom w:w="0" w:type="dxa"/>
        <w:right w:w="0" w:type="dxa"/>
      </w:tblCellMar>
    </w:tblPr>
  </w:style>
  <w:style w:type="paragraph" w:styleId="16">
    <w:name w:val="List Paragraph"/>
    <w:basedOn w:val="1"/>
    <w:qFormat/>
    <w:uiPriority w:val="1"/>
  </w:style>
  <w:style w:type="paragraph" w:customStyle="1" w:styleId="17">
    <w:name w:val="Table Paragraph"/>
    <w:basedOn w:val="1"/>
    <w:qFormat/>
    <w:uiPriority w:val="1"/>
    <w:pPr>
      <w:spacing w:before="2"/>
      <w:ind w:left="107"/>
    </w:pPr>
  </w:style>
  <w:style w:type="character" w:customStyle="1" w:styleId="18">
    <w:name w:val="页眉 字符"/>
    <w:basedOn w:val="13"/>
    <w:link w:val="10"/>
    <w:qFormat/>
    <w:uiPriority w:val="0"/>
    <w:rPr>
      <w:rFonts w:ascii="宋体" w:hAnsi="宋体" w:eastAsia="宋体" w:cs="宋体"/>
      <w:sz w:val="18"/>
      <w:szCs w:val="18"/>
      <w:lang w:val="zh-CN" w:bidi="zh-CN"/>
    </w:rPr>
  </w:style>
  <w:style w:type="character" w:customStyle="1" w:styleId="19">
    <w:name w:val="页脚 字符"/>
    <w:basedOn w:val="13"/>
    <w:link w:val="9"/>
    <w:qFormat/>
    <w:uiPriority w:val="99"/>
    <w:rPr>
      <w:rFonts w:ascii="宋体" w:hAnsi="宋体" w:eastAsia="宋体" w:cs="宋体"/>
      <w:sz w:val="18"/>
      <w:szCs w:val="18"/>
      <w:lang w:val="zh-CN" w:bidi="zh-CN"/>
    </w:rPr>
  </w:style>
  <w:style w:type="paragraph" w:customStyle="1" w:styleId="20">
    <w:name w:val="修订1"/>
    <w:hidden/>
    <w:unhideWhenUsed/>
    <w:qFormat/>
    <w:uiPriority w:val="99"/>
    <w:rPr>
      <w:rFonts w:ascii="宋体" w:hAnsi="宋体" w:eastAsia="宋体" w:cs="宋体"/>
      <w:sz w:val="22"/>
      <w:szCs w:val="22"/>
      <w:lang w:val="zh-CN" w:eastAsia="zh-CN" w:bidi="zh-CN"/>
    </w:rPr>
  </w:style>
  <w:style w:type="character" w:styleId="21">
    <w:name w:val="Placeholder Text"/>
    <w:basedOn w:val="13"/>
    <w:unhideWhenUsed/>
    <w:qFormat/>
    <w:uiPriority w:val="99"/>
    <w:rPr>
      <w:color w:val="666666"/>
    </w:rPr>
  </w:style>
  <w:style w:type="character" w:customStyle="1" w:styleId="22">
    <w:name w:val="fontstyle01"/>
    <w:basedOn w:val="13"/>
    <w:qFormat/>
    <w:uiPriority w:val="0"/>
    <w:rPr>
      <w:rFonts w:hint="eastAsia" w:ascii="仿宋_GB2312" w:eastAsia="仿宋_GB2312"/>
      <w:color w:val="000000"/>
      <w:sz w:val="32"/>
      <w:szCs w:val="32"/>
    </w:rPr>
  </w:style>
  <w:style w:type="character" w:customStyle="1" w:styleId="23">
    <w:name w:val="批注框文本 字符"/>
    <w:basedOn w:val="13"/>
    <w:link w:val="8"/>
    <w:qFormat/>
    <w:uiPriority w:val="0"/>
    <w:rPr>
      <w:rFonts w:ascii="宋体" w:hAnsi="宋体" w:eastAsia="宋体" w:cs="宋体"/>
      <w:sz w:val="18"/>
      <w:szCs w:val="18"/>
      <w:lang w:val="zh-CN" w:bidi="zh-CN"/>
    </w:rPr>
  </w:style>
  <w:style w:type="paragraph" w:customStyle="1" w:styleId="24">
    <w:name w:val="Revision"/>
    <w:hidden/>
    <w:unhideWhenUsed/>
    <w:qFormat/>
    <w:uiPriority w:val="99"/>
    <w:rPr>
      <w:rFonts w:ascii="宋体" w:hAnsi="宋体" w:eastAsia="宋体" w:cs="宋体"/>
      <w:sz w:val="22"/>
      <w:szCs w:val="22"/>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3478</Words>
  <Characters>3643</Characters>
  <Lines>182</Lines>
  <Paragraphs>206</Paragraphs>
  <TotalTime>12</TotalTime>
  <ScaleCrop>false</ScaleCrop>
  <LinksUpToDate>false</LinksUpToDate>
  <CharactersWithSpaces>3678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2026-05-16T09:14:00Z</dcterms:created>
  <dc:creator>wuke</dc:creator>
  <cp:lastModifiedBy>moonint</cp:lastModifiedBy>
  <cp:lastPrinted>2025-07-07T08:05:00Z</cp:lastPrinted>
  <dcterms:modified xsi:type="dcterms:W3CDTF">2026-09-04T03:15:10Z</dcterms:modified>
  <dc:title>一、</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2021-09-03T00:00:00Z</vt:filetime>
  </property>
  <property fmtid="{D5CDD505-2E9C-101B-9397-08002B2CF9AE}" pid="3" name="Creator">
    <vt:lpwstr>Microsoft® Word 2019</vt:lpwstr>
  </property>
  <property fmtid="{D5CDD505-2E9C-101B-9397-08002B2CF9AE}" pid="4" name="LastSaved">
    <vt:filetime>2025-05-06T00:00:00Z</vt:filetime>
  </property>
  <property fmtid="{D5CDD505-2E9C-101B-9397-08002B2CF9AE}" pid="5" name="KSOProductBuildVer">
    <vt:lpwstr>2052-12.1.0.21915</vt:lpwstr>
  </property>
  <property fmtid="{D5CDD505-2E9C-101B-9397-08002B2CF9AE}" pid="6" name="ICV">
    <vt:lpwstr>4213FEA8F29247CA92D24A2813AA388B_13</vt:lpwstr>
  </property>
</Properties>
</file>