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528" w:tblpY="1576"/>
        <w:tblW w:w="9419" w:type="dxa"/>
        <w:tblLayout w:type="fixed"/>
        <w:tblLook w:val="04A0" w:firstRow="1" w:lastRow="0" w:firstColumn="1" w:lastColumn="0" w:noHBand="0" w:noVBand="1"/>
      </w:tblPr>
      <w:tblGrid>
        <w:gridCol w:w="1537"/>
        <w:gridCol w:w="2261"/>
        <w:gridCol w:w="1782"/>
        <w:gridCol w:w="3839"/>
      </w:tblGrid>
      <w:tr w:rsidR="00ED0F76" w14:paraId="6BC69BD0" w14:textId="77777777">
        <w:trPr>
          <w:trHeight w:val="779"/>
        </w:trPr>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8A1811" w14:textId="77777777" w:rsidR="00ED0F76" w:rsidRDefault="007513A9">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答辩人：</w:t>
            </w:r>
          </w:p>
        </w:tc>
        <w:tc>
          <w:tcPr>
            <w:tcW w:w="2261" w:type="dxa"/>
            <w:tcBorders>
              <w:top w:val="single" w:sz="4" w:space="0" w:color="auto"/>
              <w:left w:val="nil"/>
              <w:bottom w:val="single" w:sz="4" w:space="0" w:color="auto"/>
              <w:right w:val="single" w:sz="4" w:space="0" w:color="auto"/>
            </w:tcBorders>
            <w:shd w:val="clear" w:color="auto" w:fill="auto"/>
            <w:noWrap/>
            <w:vAlign w:val="center"/>
          </w:tcPr>
          <w:p w14:paraId="38CA21C3" w14:textId="77777777" w:rsidR="00ED0F76" w:rsidRDefault="007513A9" w:rsidP="007513A9">
            <w:pPr>
              <w:widowControl/>
              <w:spacing w:line="288" w:lineRule="auto"/>
              <w:ind w:firstLineChars="200" w:firstLine="480"/>
              <w:rPr>
                <w:rFonts w:ascii="宋体" w:eastAsia="宋体" w:hAnsi="宋体" w:cs="宋体"/>
                <w:b/>
                <w:color w:val="000000"/>
                <w:kern w:val="0"/>
                <w:sz w:val="28"/>
                <w:szCs w:val="28"/>
              </w:rPr>
            </w:pPr>
            <w:r w:rsidRPr="007513A9">
              <w:rPr>
                <w:rFonts w:ascii="Times New Roman" w:eastAsia="宋体" w:hAnsi="Times New Roman" w:cs="Times New Roman" w:hint="eastAsia"/>
                <w:color w:val="000000" w:themeColor="text1"/>
                <w:sz w:val="24"/>
                <w:szCs w:val="24"/>
              </w:rPr>
              <w:t>李京朋</w:t>
            </w:r>
          </w:p>
        </w:tc>
        <w:tc>
          <w:tcPr>
            <w:tcW w:w="1782" w:type="dxa"/>
            <w:tcBorders>
              <w:top w:val="single" w:sz="4" w:space="0" w:color="auto"/>
              <w:left w:val="nil"/>
              <w:bottom w:val="single" w:sz="4" w:space="0" w:color="auto"/>
              <w:right w:val="single" w:sz="4" w:space="0" w:color="auto"/>
            </w:tcBorders>
            <w:shd w:val="clear" w:color="auto" w:fill="auto"/>
            <w:noWrap/>
            <w:vAlign w:val="center"/>
          </w:tcPr>
          <w:p w14:paraId="3D7E0AA9" w14:textId="77777777" w:rsidR="00ED0F76" w:rsidRDefault="007513A9">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Pr>
                <w:rFonts w:ascii="宋体" w:eastAsia="宋体" w:hAnsi="宋体" w:cs="宋体" w:hint="eastAsia"/>
                <w:b/>
                <w:color w:val="000000"/>
                <w:kern w:val="0"/>
                <w:sz w:val="28"/>
                <w:szCs w:val="28"/>
              </w:rPr>
              <w:t>师：</w:t>
            </w:r>
          </w:p>
        </w:tc>
        <w:tc>
          <w:tcPr>
            <w:tcW w:w="3839" w:type="dxa"/>
            <w:tcBorders>
              <w:top w:val="single" w:sz="4" w:space="0" w:color="auto"/>
              <w:left w:val="nil"/>
              <w:bottom w:val="single" w:sz="4" w:space="0" w:color="auto"/>
              <w:right w:val="single" w:sz="4" w:space="0" w:color="auto"/>
            </w:tcBorders>
            <w:shd w:val="clear" w:color="auto" w:fill="auto"/>
            <w:noWrap/>
            <w:vAlign w:val="center"/>
          </w:tcPr>
          <w:p w14:paraId="276BC08D" w14:textId="77777777" w:rsidR="00ED0F76" w:rsidRPr="007513A9" w:rsidRDefault="007513A9" w:rsidP="007513A9">
            <w:pPr>
              <w:widowControl/>
              <w:spacing w:line="288" w:lineRule="auto"/>
              <w:ind w:firstLineChars="200" w:firstLine="480"/>
              <w:rPr>
                <w:rFonts w:ascii="Times New Roman" w:eastAsia="宋体" w:hAnsi="Times New Roman" w:cs="Times New Roman"/>
                <w:color w:val="000000" w:themeColor="text1"/>
                <w:sz w:val="24"/>
                <w:szCs w:val="24"/>
              </w:rPr>
            </w:pPr>
            <w:r w:rsidRPr="007513A9">
              <w:rPr>
                <w:rFonts w:ascii="Times New Roman" w:eastAsia="宋体" w:hAnsi="Times New Roman" w:cs="Times New Roman" w:hint="eastAsia"/>
                <w:color w:val="000000" w:themeColor="text1"/>
                <w:sz w:val="24"/>
                <w:szCs w:val="24"/>
              </w:rPr>
              <w:t>蒋玉石</w:t>
            </w:r>
          </w:p>
        </w:tc>
      </w:tr>
      <w:tr w:rsidR="00ED0F76" w14:paraId="5F503708" w14:textId="77777777">
        <w:trPr>
          <w:trHeight w:val="771"/>
        </w:trPr>
        <w:tc>
          <w:tcPr>
            <w:tcW w:w="1537" w:type="dxa"/>
            <w:tcBorders>
              <w:top w:val="nil"/>
              <w:left w:val="single" w:sz="4" w:space="0" w:color="auto"/>
              <w:bottom w:val="single" w:sz="4" w:space="0" w:color="auto"/>
              <w:right w:val="single" w:sz="4" w:space="0" w:color="auto"/>
            </w:tcBorders>
            <w:shd w:val="clear" w:color="auto" w:fill="auto"/>
            <w:noWrap/>
            <w:vAlign w:val="center"/>
          </w:tcPr>
          <w:p w14:paraId="3D547C6A" w14:textId="77777777" w:rsidR="00ED0F76" w:rsidRDefault="007513A9">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Pr>
                <w:rFonts w:ascii="宋体" w:eastAsia="宋体" w:hAnsi="宋体" w:cs="宋体" w:hint="eastAsia"/>
                <w:b/>
                <w:color w:val="000000"/>
                <w:kern w:val="0"/>
                <w:sz w:val="28"/>
                <w:szCs w:val="28"/>
              </w:rPr>
              <w:t>业：</w:t>
            </w:r>
          </w:p>
        </w:tc>
        <w:tc>
          <w:tcPr>
            <w:tcW w:w="2261" w:type="dxa"/>
            <w:tcBorders>
              <w:top w:val="nil"/>
              <w:left w:val="nil"/>
              <w:bottom w:val="single" w:sz="4" w:space="0" w:color="auto"/>
              <w:right w:val="single" w:sz="4" w:space="0" w:color="auto"/>
            </w:tcBorders>
            <w:shd w:val="clear" w:color="auto" w:fill="auto"/>
            <w:noWrap/>
            <w:vAlign w:val="center"/>
          </w:tcPr>
          <w:p w14:paraId="6D35C01A" w14:textId="77777777" w:rsidR="00ED0F76" w:rsidRDefault="007513A9" w:rsidP="007513A9">
            <w:pPr>
              <w:widowControl/>
              <w:spacing w:line="288" w:lineRule="auto"/>
              <w:ind w:firstLineChars="200" w:firstLine="480"/>
              <w:rPr>
                <w:rFonts w:ascii="宋体" w:eastAsia="宋体" w:hAnsi="宋体" w:cs="宋体"/>
                <w:b/>
                <w:color w:val="000000"/>
                <w:kern w:val="0"/>
                <w:sz w:val="28"/>
                <w:szCs w:val="28"/>
              </w:rPr>
            </w:pPr>
            <w:r w:rsidRPr="007513A9">
              <w:rPr>
                <w:rFonts w:ascii="Times New Roman" w:eastAsia="宋体" w:hAnsi="Times New Roman" w:cs="Times New Roman" w:hint="eastAsia"/>
                <w:color w:val="000000" w:themeColor="text1"/>
                <w:sz w:val="24"/>
                <w:szCs w:val="24"/>
              </w:rPr>
              <w:t>工商管理</w:t>
            </w:r>
          </w:p>
        </w:tc>
        <w:tc>
          <w:tcPr>
            <w:tcW w:w="1782" w:type="dxa"/>
            <w:tcBorders>
              <w:top w:val="nil"/>
              <w:left w:val="nil"/>
              <w:bottom w:val="single" w:sz="4" w:space="0" w:color="auto"/>
              <w:right w:val="single" w:sz="4" w:space="0" w:color="auto"/>
            </w:tcBorders>
            <w:shd w:val="clear" w:color="auto" w:fill="auto"/>
            <w:noWrap/>
            <w:vAlign w:val="center"/>
          </w:tcPr>
          <w:p w14:paraId="42179E3B" w14:textId="77777777" w:rsidR="00ED0F76" w:rsidRDefault="007513A9">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研究方向：</w:t>
            </w:r>
          </w:p>
        </w:tc>
        <w:tc>
          <w:tcPr>
            <w:tcW w:w="3839" w:type="dxa"/>
            <w:tcBorders>
              <w:top w:val="nil"/>
              <w:left w:val="nil"/>
              <w:bottom w:val="single" w:sz="4" w:space="0" w:color="auto"/>
              <w:right w:val="single" w:sz="4" w:space="0" w:color="auto"/>
            </w:tcBorders>
            <w:shd w:val="clear" w:color="auto" w:fill="auto"/>
            <w:noWrap/>
            <w:vAlign w:val="center"/>
          </w:tcPr>
          <w:p w14:paraId="1F1E0FC8" w14:textId="77777777" w:rsidR="00ED0F76" w:rsidRPr="007513A9" w:rsidRDefault="007513A9" w:rsidP="007513A9">
            <w:pPr>
              <w:widowControl/>
              <w:spacing w:line="288" w:lineRule="auto"/>
              <w:ind w:firstLineChars="200" w:firstLine="480"/>
              <w:rPr>
                <w:rFonts w:ascii="Times New Roman" w:eastAsia="宋体" w:hAnsi="Times New Roman" w:cs="Times New Roman"/>
                <w:color w:val="000000" w:themeColor="text1"/>
                <w:sz w:val="24"/>
                <w:szCs w:val="24"/>
              </w:rPr>
            </w:pPr>
            <w:r w:rsidRPr="007513A9">
              <w:rPr>
                <w:rFonts w:ascii="Times New Roman" w:eastAsia="宋体" w:hAnsi="Times New Roman" w:cs="Times New Roman" w:hint="eastAsia"/>
                <w:color w:val="000000" w:themeColor="text1"/>
                <w:sz w:val="24"/>
                <w:szCs w:val="24"/>
              </w:rPr>
              <w:t>消费者行为</w:t>
            </w:r>
          </w:p>
        </w:tc>
      </w:tr>
      <w:tr w:rsidR="00ED0F76" w14:paraId="282E57F3" w14:textId="77777777">
        <w:trPr>
          <w:trHeight w:val="771"/>
        </w:trPr>
        <w:tc>
          <w:tcPr>
            <w:tcW w:w="1537" w:type="dxa"/>
            <w:tcBorders>
              <w:top w:val="nil"/>
              <w:left w:val="single" w:sz="4" w:space="0" w:color="auto"/>
              <w:bottom w:val="single" w:sz="4" w:space="0" w:color="auto"/>
              <w:right w:val="single" w:sz="4" w:space="0" w:color="auto"/>
            </w:tcBorders>
            <w:shd w:val="clear" w:color="auto" w:fill="auto"/>
            <w:noWrap/>
            <w:vAlign w:val="center"/>
          </w:tcPr>
          <w:p w14:paraId="235C23C5" w14:textId="77777777" w:rsidR="00ED0F76" w:rsidRDefault="007513A9">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论文题目：</w:t>
            </w:r>
          </w:p>
        </w:tc>
        <w:tc>
          <w:tcPr>
            <w:tcW w:w="7882" w:type="dxa"/>
            <w:gridSpan w:val="3"/>
            <w:tcBorders>
              <w:top w:val="nil"/>
              <w:left w:val="nil"/>
              <w:bottom w:val="single" w:sz="4" w:space="0" w:color="auto"/>
              <w:right w:val="single" w:sz="4" w:space="0" w:color="auto"/>
            </w:tcBorders>
            <w:shd w:val="clear" w:color="auto" w:fill="auto"/>
            <w:noWrap/>
            <w:vAlign w:val="center"/>
          </w:tcPr>
          <w:p w14:paraId="20D50BB1" w14:textId="77777777" w:rsidR="00ED0F76" w:rsidRDefault="007513A9" w:rsidP="007513A9">
            <w:pPr>
              <w:widowControl/>
              <w:spacing w:line="288" w:lineRule="auto"/>
              <w:ind w:firstLineChars="200" w:firstLine="480"/>
              <w:rPr>
                <w:rFonts w:ascii="宋体" w:eastAsia="宋体" w:hAnsi="宋体" w:cs="宋体"/>
                <w:color w:val="000000"/>
                <w:kern w:val="0"/>
                <w:sz w:val="24"/>
                <w:szCs w:val="24"/>
              </w:rPr>
            </w:pPr>
            <w:r w:rsidRPr="007513A9">
              <w:rPr>
                <w:rFonts w:ascii="Times New Roman" w:eastAsia="宋体" w:hAnsi="Times New Roman" w:cs="Times New Roman" w:hint="eastAsia"/>
                <w:color w:val="000000" w:themeColor="text1"/>
                <w:sz w:val="24"/>
                <w:szCs w:val="24"/>
              </w:rPr>
              <w:t>视频营销中声音唤醒对消费</w:t>
            </w:r>
            <w:r w:rsidRPr="007513A9">
              <w:rPr>
                <w:rFonts w:ascii="Times New Roman" w:eastAsia="宋体" w:hAnsi="Times New Roman" w:cs="Times New Roman" w:hint="eastAsia"/>
                <w:color w:val="000000" w:themeColor="text1"/>
                <w:sz w:val="24"/>
                <w:szCs w:val="24"/>
              </w:rPr>
              <w:t>者购买</w:t>
            </w:r>
            <w:r w:rsidRPr="007513A9">
              <w:rPr>
                <w:rFonts w:ascii="Times New Roman" w:eastAsia="宋体" w:hAnsi="Times New Roman" w:cs="Times New Roman" w:hint="eastAsia"/>
                <w:color w:val="000000" w:themeColor="text1"/>
                <w:sz w:val="24"/>
                <w:szCs w:val="24"/>
              </w:rPr>
              <w:t>行为的影响研究</w:t>
            </w:r>
          </w:p>
        </w:tc>
      </w:tr>
      <w:tr w:rsidR="00ED0F76" w14:paraId="73EF1EA2" w14:textId="77777777">
        <w:trPr>
          <w:trHeight w:val="800"/>
        </w:trPr>
        <w:tc>
          <w:tcPr>
            <w:tcW w:w="941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4F0C62B" w14:textId="77777777" w:rsidR="00ED0F76" w:rsidRDefault="007513A9">
            <w:pPr>
              <w:widowControl/>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摘</w:t>
            </w:r>
            <w:r>
              <w:rPr>
                <w:rFonts w:ascii="宋体" w:eastAsia="宋体" w:hAnsi="宋体" w:cs="宋体" w:hint="eastAsia"/>
                <w:b/>
                <w:color w:val="000000"/>
                <w:kern w:val="0"/>
                <w:sz w:val="28"/>
                <w:szCs w:val="28"/>
              </w:rPr>
              <w:t xml:space="preserve">        </w:t>
            </w:r>
            <w:r>
              <w:rPr>
                <w:rFonts w:ascii="宋体" w:eastAsia="宋体" w:hAnsi="宋体" w:cs="宋体" w:hint="eastAsia"/>
                <w:b/>
                <w:color w:val="000000"/>
                <w:kern w:val="0"/>
                <w:sz w:val="28"/>
                <w:szCs w:val="28"/>
              </w:rPr>
              <w:t>要</w:t>
            </w:r>
          </w:p>
        </w:tc>
      </w:tr>
      <w:tr w:rsidR="00ED0F76" w14:paraId="665F44C1" w14:textId="77777777">
        <w:trPr>
          <w:trHeight w:val="9880"/>
        </w:trPr>
        <w:tc>
          <w:tcPr>
            <w:tcW w:w="941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285AC03" w14:textId="77777777" w:rsidR="00ED0F76" w:rsidRDefault="007513A9">
            <w:pPr>
              <w:widowControl/>
              <w:spacing w:line="288"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近年来，数字技术的迅猛发展使得视频营销成为</w:t>
            </w:r>
            <w:proofErr w:type="gramStart"/>
            <w:r>
              <w:rPr>
                <w:rFonts w:ascii="Times New Roman" w:eastAsia="宋体" w:hAnsi="Times New Roman" w:cs="Times New Roman" w:hint="eastAsia"/>
                <w:color w:val="000000" w:themeColor="text1"/>
                <w:sz w:val="24"/>
                <w:szCs w:val="24"/>
              </w:rPr>
              <w:t>企业触达消费者</w:t>
            </w:r>
            <w:proofErr w:type="gramEnd"/>
            <w:r>
              <w:rPr>
                <w:rFonts w:ascii="Times New Roman" w:eastAsia="宋体" w:hAnsi="Times New Roman" w:cs="Times New Roman" w:hint="eastAsia"/>
                <w:color w:val="000000" w:themeColor="text1"/>
                <w:sz w:val="24"/>
                <w:szCs w:val="24"/>
              </w:rPr>
              <w:t>、提升品牌影响力的重要工具。然而，在视频视觉设计日益同质化的背景下，如何通过音频设计提升视频吸引力、激发消费者反应成为亟待解决的问题。声音唤醒作为音频设计的关键因素，包含声学特征与情感特征两个维度，可能对消费者的认知与行为产生复杂影响。现有研究在视频营销领域主要聚焦于视觉或语言内容，鲜有对声音唤醒作用机制的系统性分析，尤其缺乏对声学与情感唤醒在实际应用中的量化研究。因此，本文从信号传递理论、唤醒理论和双系统理论出发，系统探讨声音唤醒对消费者行为的双</w:t>
            </w:r>
            <w:proofErr w:type="gramStart"/>
            <w:r>
              <w:rPr>
                <w:rFonts w:ascii="Times New Roman" w:eastAsia="宋体" w:hAnsi="Times New Roman" w:cs="Times New Roman" w:hint="eastAsia"/>
                <w:color w:val="000000" w:themeColor="text1"/>
                <w:sz w:val="24"/>
                <w:szCs w:val="24"/>
              </w:rPr>
              <w:t>刃</w:t>
            </w:r>
            <w:proofErr w:type="gramEnd"/>
            <w:r>
              <w:rPr>
                <w:rFonts w:ascii="Times New Roman" w:eastAsia="宋体" w:hAnsi="Times New Roman" w:cs="Times New Roman" w:hint="eastAsia"/>
                <w:color w:val="000000" w:themeColor="text1"/>
                <w:sz w:val="24"/>
                <w:szCs w:val="24"/>
              </w:rPr>
              <w:t>剑</w:t>
            </w:r>
            <w:r>
              <w:rPr>
                <w:rFonts w:ascii="Times New Roman" w:eastAsia="宋体" w:hAnsi="Times New Roman" w:cs="Times New Roman" w:hint="eastAsia"/>
                <w:color w:val="000000" w:themeColor="text1"/>
                <w:sz w:val="24"/>
                <w:szCs w:val="24"/>
              </w:rPr>
              <w:t>效应，并进一步分析其作用机制与边界条件。</w:t>
            </w:r>
          </w:p>
          <w:p w14:paraId="72B6B840" w14:textId="77777777" w:rsidR="00ED0F76" w:rsidRDefault="007513A9">
            <w:pPr>
              <w:widowControl/>
              <w:spacing w:line="288"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首先，本文基于音频挖掘技术与机器学习算法，构建视频音频唤醒指标，并</w:t>
            </w:r>
            <w:proofErr w:type="gramStart"/>
            <w:r>
              <w:rPr>
                <w:rFonts w:ascii="Times New Roman" w:eastAsia="宋体" w:hAnsi="Times New Roman" w:cs="Times New Roman" w:hint="eastAsia"/>
                <w:color w:val="000000" w:themeColor="text1"/>
                <w:sz w:val="24"/>
                <w:szCs w:val="24"/>
              </w:rPr>
              <w:t>利用众筹平台</w:t>
            </w:r>
            <w:proofErr w:type="gramEnd"/>
            <w:r>
              <w:rPr>
                <w:rFonts w:ascii="Times New Roman" w:eastAsia="宋体" w:hAnsi="Times New Roman" w:cs="Times New Roman" w:hint="eastAsia"/>
                <w:color w:val="000000" w:themeColor="text1"/>
                <w:sz w:val="24"/>
                <w:szCs w:val="24"/>
              </w:rPr>
              <w:t>、短视频平台与直播电商的多源数据，实证检验声音唤醒对消费者参与行为和购买行为的影响。研究发现，适度的声音唤醒能提升消费者的注意力与购买意愿，但过高或过低的唤醒水平均会抑制其行为反应，呈现倒</w:t>
            </w:r>
            <w:r>
              <w:rPr>
                <w:rFonts w:ascii="Times New Roman" w:eastAsia="宋体" w:hAnsi="Times New Roman" w:cs="Times New Roman" w:hint="eastAsia"/>
                <w:color w:val="000000" w:themeColor="text1"/>
                <w:sz w:val="24"/>
                <w:szCs w:val="24"/>
              </w:rPr>
              <w:t>U</w:t>
            </w:r>
            <w:r>
              <w:rPr>
                <w:rFonts w:ascii="Times New Roman" w:eastAsia="宋体" w:hAnsi="Times New Roman" w:cs="Times New Roman" w:hint="eastAsia"/>
                <w:color w:val="000000" w:themeColor="text1"/>
                <w:sz w:val="24"/>
                <w:szCs w:val="24"/>
              </w:rPr>
              <w:t>型的非线性关系。此外，消费者对声音唤醒的反应在不同平台与内容场景中表现出差异，说明其营销效应具有显著的情境依赖性。</w:t>
            </w:r>
          </w:p>
          <w:p w14:paraId="07E6D6B0" w14:textId="77777777" w:rsidR="00ED0F76" w:rsidRDefault="007513A9">
            <w:pPr>
              <w:widowControl/>
              <w:spacing w:line="288"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其次，为探究声音唤醒的作用机制，本文结合脑电实验与结构方程建模，发现声音唤醒可通过激发</w:t>
            </w:r>
            <w:r>
              <w:rPr>
                <w:rFonts w:ascii="Times New Roman" w:eastAsia="宋体" w:hAnsi="Times New Roman" w:cs="Times New Roman" w:hint="eastAsia"/>
                <w:color w:val="000000" w:themeColor="text1"/>
                <w:sz w:val="24"/>
                <w:szCs w:val="24"/>
              </w:rPr>
              <w:t>消费者的情感处理系统与认知加工系统共同影响其行为决策。这一发现不仅验证了双系统理论在视频营销语境下的适用性，也揭示了声音唤醒如何作为信号影响消费者对产品的感知判断与价值评估。</w:t>
            </w:r>
          </w:p>
          <w:p w14:paraId="0F4E41D4" w14:textId="77777777" w:rsidR="00ED0F76" w:rsidRDefault="007513A9">
            <w:pPr>
              <w:widowControl/>
              <w:spacing w:line="288"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再次，基于一致性理论与产品类型调节效应的分析结果显示，视频内容的多模态情感一致性与产品属性显著影响声音唤醒的行为效果。在享乐品情境下，强唤醒声音更能引发积极反应，而在实用品情境下则可能适得其反。这一发现为企业和内容创作者提供了精准化音频策略设计的依据。</w:t>
            </w:r>
          </w:p>
          <w:p w14:paraId="6A0F41E1" w14:textId="77777777" w:rsidR="00ED0F76" w:rsidRDefault="007513A9">
            <w:pPr>
              <w:widowControl/>
              <w:spacing w:line="288" w:lineRule="auto"/>
              <w:ind w:firstLineChars="200" w:firstLine="480"/>
              <w:rPr>
                <w:rFonts w:ascii="宋体" w:eastAsia="宋体" w:hAnsi="宋体" w:cs="宋体"/>
                <w:bCs/>
                <w:color w:val="000000"/>
                <w:kern w:val="0"/>
                <w:sz w:val="24"/>
                <w:szCs w:val="24"/>
              </w:rPr>
            </w:pPr>
            <w:r>
              <w:rPr>
                <w:rFonts w:ascii="Times New Roman" w:eastAsia="宋体" w:hAnsi="Times New Roman" w:cs="Times New Roman" w:hint="eastAsia"/>
                <w:color w:val="000000" w:themeColor="text1"/>
                <w:sz w:val="24"/>
                <w:szCs w:val="24"/>
              </w:rPr>
              <w:t>最后，研究表明，音频设计作为低成本、高效率的营销手段，在提升视频传播效果、优化消费者体验方面具有广阔前景。本研究不仅丰富了视频营销与声音营销的交叉领域理论体系，也为企业制定基于声音特征的差异化视频内容策略提供了实证支持和管理启示。</w:t>
            </w:r>
          </w:p>
        </w:tc>
      </w:tr>
    </w:tbl>
    <w:p w14:paraId="6FDD9A9E" w14:textId="77777777" w:rsidR="00ED0F76" w:rsidRDefault="00ED0F76">
      <w:pPr>
        <w:rPr>
          <w:sz w:val="24"/>
          <w:szCs w:val="24"/>
        </w:rPr>
      </w:pPr>
    </w:p>
    <w:sectPr w:rsidR="00ED0F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7EwNzS3NDcwNTE0MTBS0lEKTi0uzszPAykwrAUAUvULSCwAAAA="/>
  </w:docVars>
  <w:rsids>
    <w:rsidRoot w:val="003F7766"/>
    <w:rsid w:val="000561F3"/>
    <w:rsid w:val="000C309C"/>
    <w:rsid w:val="000E0217"/>
    <w:rsid w:val="000F33B2"/>
    <w:rsid w:val="0014433F"/>
    <w:rsid w:val="0016646D"/>
    <w:rsid w:val="001A5243"/>
    <w:rsid w:val="001B350E"/>
    <w:rsid w:val="002218E3"/>
    <w:rsid w:val="0024529D"/>
    <w:rsid w:val="002E6FFB"/>
    <w:rsid w:val="003D17E1"/>
    <w:rsid w:val="003D4482"/>
    <w:rsid w:val="003F7766"/>
    <w:rsid w:val="00445EA3"/>
    <w:rsid w:val="004F4CE3"/>
    <w:rsid w:val="0051398A"/>
    <w:rsid w:val="00567FA6"/>
    <w:rsid w:val="00671515"/>
    <w:rsid w:val="006940BD"/>
    <w:rsid w:val="006B44CF"/>
    <w:rsid w:val="006D7BC5"/>
    <w:rsid w:val="00710FE0"/>
    <w:rsid w:val="007161AA"/>
    <w:rsid w:val="00716EFF"/>
    <w:rsid w:val="00717274"/>
    <w:rsid w:val="007513A9"/>
    <w:rsid w:val="007557E9"/>
    <w:rsid w:val="00776AA6"/>
    <w:rsid w:val="00784C85"/>
    <w:rsid w:val="007B6A18"/>
    <w:rsid w:val="00813E8C"/>
    <w:rsid w:val="008B6443"/>
    <w:rsid w:val="00953245"/>
    <w:rsid w:val="009F37AD"/>
    <w:rsid w:val="00A26486"/>
    <w:rsid w:val="00B849CB"/>
    <w:rsid w:val="00BA5512"/>
    <w:rsid w:val="00C87C86"/>
    <w:rsid w:val="00CA3673"/>
    <w:rsid w:val="00CF5A4B"/>
    <w:rsid w:val="00D01C3B"/>
    <w:rsid w:val="00DA647F"/>
    <w:rsid w:val="00E4344A"/>
    <w:rsid w:val="00E80A51"/>
    <w:rsid w:val="00EB7D04"/>
    <w:rsid w:val="00ED0F76"/>
    <w:rsid w:val="00F14DF6"/>
    <w:rsid w:val="00F31D07"/>
    <w:rsid w:val="00F6256F"/>
    <w:rsid w:val="00F94709"/>
    <w:rsid w:val="00F95865"/>
    <w:rsid w:val="00FB74F3"/>
    <w:rsid w:val="73965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CFB6A1-CA81-47E8-AD92-8F142589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139</Words>
  <Characters>794</Characters>
  <Application>Microsoft Office Word</Application>
  <DocSecurity>0</DocSecurity>
  <Lines>6</Lines>
  <Paragraphs>1</Paragraphs>
  <ScaleCrop>false</ScaleCrop>
  <Company>Lenovo</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JG-pc</cp:lastModifiedBy>
  <cp:revision>27</cp:revision>
  <cp:lastPrinted>2017-01-06T07:14:00Z</cp:lastPrinted>
  <dcterms:created xsi:type="dcterms:W3CDTF">2017-01-06T06:51:00Z</dcterms:created>
  <dcterms:modified xsi:type="dcterms:W3CDTF">2025-10-11T02:59:00Z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eyJoZGlkIjoiZjhhM2ZhOWYxYTU4MzhmMThiYWQ2YzM5ZWI1NTJmNzAiLCJ1c2VySWQiOiIzNzk5NTg5ODIifQ==</vt:lpwstr>
  </property>
  <property fmtid="{D5CDD505-2E9C-101B-9397-08002B2CF9AE}" pid="3" name="KSOProductBuildVer">
    <vt:lpwstr>2052-12.1.0.21915</vt:lpwstr>
  </property>
  <property fmtid="{D5CDD505-2E9C-101B-9397-08002B2CF9AE}" pid="4" name="ICV">
    <vt:lpwstr>6017743EB3884E32AAE5239AA452160D_12</vt:lpwstr>
  </property>
</Properties>
</file>