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EA9CB7">
      <w:pPr>
        <w:pStyle w:val="2"/>
        <w:spacing w:before="0" w:line="560" w:lineRule="exact"/>
        <w:ind w:left="-2" w:leftChars="-1" w:firstLine="1"/>
        <w:rPr>
          <w:rFonts w:hint="eastAsia" w:ascii="方正小标宋简体" w:eastAsia="方正小标宋简体"/>
          <w:b w:val="0"/>
          <w:bCs w:val="0"/>
          <w:sz w:val="44"/>
          <w:szCs w:val="44"/>
          <w:lang w:val="en-US"/>
        </w:rPr>
      </w:pPr>
      <w:bookmarkStart w:id="0" w:name="OLE_LINK1"/>
      <w:bookmarkStart w:id="1" w:name="OLE_LINK11"/>
      <w:bookmarkStart w:id="7" w:name="_GoBack"/>
      <w:bookmarkEnd w:id="7"/>
    </w:p>
    <w:p w14:paraId="03EAD90B">
      <w:pPr>
        <w:pStyle w:val="2"/>
        <w:spacing w:before="0" w:line="560" w:lineRule="exact"/>
        <w:ind w:left="-2" w:leftChars="-1" w:firstLine="1"/>
        <w:rPr>
          <w:rFonts w:hint="eastAsia" w:ascii="方正小标宋简体" w:eastAsia="方正小标宋简体"/>
          <w:b w:val="0"/>
          <w:bCs w:val="0"/>
          <w:sz w:val="44"/>
          <w:szCs w:val="44"/>
          <w:lang w:val="en-US"/>
        </w:rPr>
      </w:pPr>
      <w:r>
        <w:rPr>
          <w:rFonts w:hint="eastAsia" w:ascii="方正小标宋简体" w:eastAsia="方正小标宋简体"/>
          <w:b w:val="0"/>
          <w:bCs w:val="0"/>
          <w:sz w:val="44"/>
          <w:szCs w:val="44"/>
          <w:lang w:val="en-US"/>
        </w:rPr>
        <w:t>西南交通大学</w:t>
      </w:r>
    </w:p>
    <w:p w14:paraId="7A458E58">
      <w:pPr>
        <w:pStyle w:val="2"/>
        <w:spacing w:before="0" w:line="560" w:lineRule="exact"/>
        <w:ind w:left="-2" w:leftChars="-1" w:firstLine="1"/>
        <w:rPr>
          <w:rFonts w:hint="eastAsia" w:ascii="方正小标宋简体" w:eastAsia="方正小标宋简体"/>
          <w:b w:val="0"/>
          <w:bCs w:val="0"/>
          <w:sz w:val="44"/>
          <w:szCs w:val="44"/>
        </w:rPr>
      </w:pPr>
      <w:r>
        <w:rPr>
          <w:rFonts w:hint="eastAsia" w:ascii="方正小标宋简体" w:eastAsia="方正小标宋简体"/>
          <w:b w:val="0"/>
          <w:bCs w:val="0"/>
          <w:sz w:val="44"/>
          <w:szCs w:val="44"/>
          <w:lang w:val="en-US"/>
        </w:rPr>
        <w:t>第二学士学位</w:t>
      </w:r>
      <w:bookmarkEnd w:id="0"/>
      <w:r>
        <w:rPr>
          <w:rFonts w:hint="eastAsia" w:ascii="方正小标宋简体" w:eastAsia="方正小标宋简体"/>
          <w:b w:val="0"/>
          <w:bCs w:val="0"/>
          <w:sz w:val="44"/>
          <w:szCs w:val="44"/>
        </w:rPr>
        <w:t>奖助学金评审管理办法</w:t>
      </w:r>
    </w:p>
    <w:bookmarkEnd w:id="1"/>
    <w:p w14:paraId="2196E9D7">
      <w:pPr>
        <w:pStyle w:val="5"/>
        <w:spacing w:before="0" w:line="560" w:lineRule="exact"/>
        <w:ind w:left="66"/>
        <w:jc w:val="center"/>
        <w:rPr>
          <w:rFonts w:hint="eastAsia" w:ascii="方正小标宋简体" w:eastAsia="方正小标宋简体"/>
          <w:b w:val="0"/>
          <w:bCs w:val="0"/>
          <w:sz w:val="44"/>
          <w:szCs w:val="44"/>
        </w:rPr>
      </w:pPr>
      <w:r>
        <w:rPr>
          <w:rFonts w:hint="eastAsia" w:ascii="方正小标宋简体" w:eastAsia="方正小标宋简体"/>
          <w:b w:val="0"/>
          <w:bCs w:val="0"/>
          <w:sz w:val="44"/>
          <w:szCs w:val="44"/>
        </w:rPr>
        <w:t>（试行）</w:t>
      </w:r>
    </w:p>
    <w:p w14:paraId="35959899">
      <w:pPr>
        <w:tabs>
          <w:tab w:val="left" w:pos="1270"/>
        </w:tabs>
        <w:spacing w:line="560" w:lineRule="exact"/>
        <w:ind w:left="63"/>
        <w:jc w:val="center"/>
        <w:rPr>
          <w:rFonts w:hint="eastAsia" w:ascii="黑体" w:eastAsia="黑体"/>
          <w:b/>
          <w:sz w:val="30"/>
        </w:rPr>
      </w:pPr>
    </w:p>
    <w:p w14:paraId="470C07F6">
      <w:pPr>
        <w:tabs>
          <w:tab w:val="left" w:pos="1270"/>
        </w:tabs>
        <w:snapToGrid w:val="0"/>
        <w:spacing w:before="120" w:beforeLines="50" w:after="120" w:afterLines="50" w:line="560" w:lineRule="exact"/>
        <w:jc w:val="center"/>
        <w:rPr>
          <w:rFonts w:hint="eastAsia" w:ascii="黑体" w:hAnsi="黑体" w:eastAsia="黑体"/>
          <w:b/>
          <w:sz w:val="32"/>
          <w:szCs w:val="32"/>
        </w:rPr>
      </w:pPr>
      <w:r>
        <w:rPr>
          <w:rFonts w:hint="eastAsia" w:ascii="黑体" w:hAnsi="黑体" w:eastAsia="黑体"/>
          <w:b/>
          <w:sz w:val="32"/>
          <w:szCs w:val="32"/>
        </w:rPr>
        <w:t>第一章 总则</w:t>
      </w:r>
    </w:p>
    <w:p w14:paraId="339A552A">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 xml:space="preserve">第一条 </w:t>
      </w:r>
      <w:r>
        <w:rPr>
          <w:rFonts w:ascii="仿宋_GB2312" w:eastAsia="仿宋_GB2312"/>
          <w:sz w:val="32"/>
          <w:szCs w:val="32"/>
        </w:rPr>
        <w:t>为规范</w:t>
      </w:r>
      <w:r>
        <w:rPr>
          <w:rFonts w:hint="eastAsia" w:ascii="仿宋_GB2312" w:eastAsia="仿宋_GB2312"/>
          <w:sz w:val="32"/>
          <w:szCs w:val="32"/>
        </w:rPr>
        <w:t>第二学士学位</w:t>
      </w:r>
      <w:r>
        <w:rPr>
          <w:rFonts w:ascii="仿宋_GB2312" w:eastAsia="仿宋_GB2312"/>
          <w:sz w:val="32"/>
          <w:szCs w:val="32"/>
        </w:rPr>
        <w:t>奖助学金评审工作，激发广大学生刻苦学习、奋发向上，为国家和社会培养更多优秀人才，根据</w:t>
      </w:r>
      <w:r>
        <w:rPr>
          <w:rFonts w:hint="eastAsia" w:ascii="仿宋_GB2312" w:eastAsia="仿宋_GB2312"/>
          <w:sz w:val="32"/>
          <w:szCs w:val="32"/>
        </w:rPr>
        <w:t>《西南交通大学本科生奖助金评审管理办法》《</w:t>
      </w:r>
      <w:r>
        <w:rPr>
          <w:rFonts w:ascii="仿宋_GB2312" w:eastAsia="仿宋_GB2312"/>
          <w:sz w:val="32"/>
          <w:szCs w:val="32"/>
        </w:rPr>
        <w:t>西南交通大学本科生国家奖助学金评审管理办法</w:t>
      </w:r>
      <w:r>
        <w:rPr>
          <w:rFonts w:hint="eastAsia" w:ascii="仿宋_GB2312" w:eastAsia="仿宋_GB2312"/>
          <w:sz w:val="32"/>
          <w:szCs w:val="32"/>
        </w:rPr>
        <w:t>》等管理办法，结合</w:t>
      </w:r>
      <w:r>
        <w:rPr>
          <w:rFonts w:hint="eastAsia" w:ascii="仿宋_GB2312" w:eastAsia="仿宋_GB2312"/>
          <w:sz w:val="32"/>
          <w:szCs w:val="32"/>
          <w:lang w:val="en-US"/>
        </w:rPr>
        <w:t>第二学士学位学生</w:t>
      </w:r>
      <w:r>
        <w:rPr>
          <w:rFonts w:hint="eastAsia" w:ascii="仿宋_GB2312" w:eastAsia="仿宋_GB2312"/>
          <w:sz w:val="32"/>
          <w:szCs w:val="32"/>
        </w:rPr>
        <w:t>的实际情况，制定本办法。</w:t>
      </w:r>
    </w:p>
    <w:p w14:paraId="69494A84">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第二条 本办法适用于</w:t>
      </w:r>
      <w:r>
        <w:rPr>
          <w:rFonts w:hint="eastAsia" w:ascii="仿宋_GB2312" w:eastAsia="仿宋_GB2312"/>
          <w:sz w:val="32"/>
          <w:szCs w:val="32"/>
          <w:lang w:val="en-US"/>
        </w:rPr>
        <w:t>在读</w:t>
      </w:r>
      <w:r>
        <w:rPr>
          <w:rFonts w:hint="eastAsia" w:ascii="仿宋_GB2312" w:eastAsia="仿宋_GB2312"/>
          <w:sz w:val="32"/>
          <w:szCs w:val="32"/>
        </w:rPr>
        <w:t>的第</w:t>
      </w:r>
      <w:r>
        <w:rPr>
          <w:rFonts w:hint="eastAsia" w:ascii="仿宋_GB2312" w:eastAsia="仿宋_GB2312"/>
          <w:sz w:val="32"/>
          <w:szCs w:val="32"/>
          <w:lang w:val="en-US"/>
        </w:rPr>
        <w:t>二学士学位学</w:t>
      </w:r>
      <w:r>
        <w:rPr>
          <w:rFonts w:hint="eastAsia" w:ascii="仿宋_GB2312" w:eastAsia="仿宋_GB2312"/>
          <w:sz w:val="32"/>
          <w:szCs w:val="32"/>
        </w:rPr>
        <w:t>生。</w:t>
      </w:r>
    </w:p>
    <w:p w14:paraId="53241D76">
      <w:pPr>
        <w:pStyle w:val="7"/>
        <w:spacing w:line="560" w:lineRule="exact"/>
        <w:ind w:firstLine="640" w:firstLineChars="200"/>
        <w:jc w:val="both"/>
        <w:rPr>
          <w:rFonts w:hint="eastAsia" w:ascii="仿宋_GB2312" w:eastAsia="仿宋_GB2312"/>
          <w:sz w:val="32"/>
          <w:szCs w:val="32"/>
        </w:rPr>
      </w:pPr>
      <w:r>
        <w:rPr>
          <w:rFonts w:ascii="仿宋_GB2312" w:eastAsia="仿宋_GB2312"/>
          <w:sz w:val="32"/>
          <w:szCs w:val="32"/>
        </w:rPr>
        <w:t>第三条</w:t>
      </w:r>
      <w:r>
        <w:rPr>
          <w:rFonts w:hint="eastAsia" w:ascii="仿宋_GB2312" w:eastAsia="仿宋_GB2312"/>
          <w:sz w:val="32"/>
          <w:szCs w:val="32"/>
        </w:rPr>
        <w:t xml:space="preserve"> </w:t>
      </w:r>
      <w:r>
        <w:rPr>
          <w:rFonts w:ascii="仿宋_GB2312" w:eastAsia="仿宋_GB2312"/>
          <w:sz w:val="32"/>
          <w:szCs w:val="32"/>
        </w:rPr>
        <w:t>奖助学金评审坚持“公平、公正、公开”原则。</w:t>
      </w:r>
    </w:p>
    <w:p w14:paraId="1DA65CC9">
      <w:pPr>
        <w:tabs>
          <w:tab w:val="left" w:pos="1269"/>
        </w:tabs>
        <w:snapToGrid w:val="0"/>
        <w:spacing w:before="120" w:beforeLines="50" w:after="120" w:afterLines="50" w:line="560" w:lineRule="exact"/>
        <w:jc w:val="center"/>
        <w:rPr>
          <w:rFonts w:hint="eastAsia" w:ascii="黑体" w:hAnsi="黑体" w:eastAsia="黑体"/>
          <w:b/>
          <w:sz w:val="32"/>
          <w:szCs w:val="32"/>
          <w:lang w:val="en-US"/>
        </w:rPr>
      </w:pPr>
      <w:r>
        <w:rPr>
          <w:rFonts w:ascii="黑体" w:hAnsi="黑体" w:eastAsia="黑体"/>
          <w:b/>
          <w:bCs/>
          <w:sz w:val="32"/>
          <w:szCs w:val="32"/>
          <w:lang w:val="en-US"/>
        </w:rPr>
        <w:t>第二章</w:t>
      </w:r>
      <w:r>
        <w:rPr>
          <w:rFonts w:ascii="Calibri" w:hAnsi="Calibri" w:eastAsia="黑体" w:cs="Calibri"/>
          <w:b/>
          <w:bCs/>
          <w:sz w:val="32"/>
          <w:szCs w:val="32"/>
          <w:lang w:val="en-US"/>
        </w:rPr>
        <w:t>  </w:t>
      </w:r>
      <w:r>
        <w:rPr>
          <w:rFonts w:ascii="黑体" w:hAnsi="黑体" w:eastAsia="黑体"/>
          <w:b/>
          <w:bCs/>
          <w:sz w:val="32"/>
          <w:szCs w:val="32"/>
          <w:lang w:val="en-US"/>
        </w:rPr>
        <w:t>评选条件与奖助标准</w:t>
      </w:r>
    </w:p>
    <w:p w14:paraId="12424B50">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第四条</w:t>
      </w:r>
      <w:r>
        <w:rPr>
          <w:rFonts w:hint="eastAsia" w:ascii="仿宋_GB2312" w:eastAsia="仿宋_GB2312"/>
          <w:sz w:val="32"/>
          <w:szCs w:val="32"/>
        </w:rPr>
        <w:t xml:space="preserve"> </w:t>
      </w:r>
      <w:r>
        <w:rPr>
          <w:rFonts w:ascii="仿宋_GB2312" w:eastAsia="仿宋_GB2312"/>
          <w:sz w:val="32"/>
          <w:szCs w:val="32"/>
        </w:rPr>
        <w:t>奖助学金分为国家奖助学金、综合奖学金和专项奖助学金三类。</w:t>
      </w:r>
    </w:p>
    <w:p w14:paraId="144FE9B2">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国家奖助学金由中央和地方政府出资设立，包括国家奖学金、国家励志奖学金、国家助学金。</w:t>
      </w:r>
    </w:p>
    <w:p w14:paraId="58C51CE4">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综合奖学金由学校出资设立，包括一等奖学金、二等奖学金、三等奖学金。</w:t>
      </w:r>
    </w:p>
    <w:p w14:paraId="1CF23EC2">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专项奖助学金由关心学校发展和人才培养的社会团体、企事业单位或个人出资设立。</w:t>
      </w:r>
    </w:p>
    <w:p w14:paraId="145E497C">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第五条</w:t>
      </w:r>
      <w:r>
        <w:rPr>
          <w:rFonts w:hint="eastAsia" w:ascii="仿宋_GB2312" w:eastAsia="仿宋_GB2312"/>
          <w:sz w:val="32"/>
          <w:szCs w:val="32"/>
        </w:rPr>
        <w:t xml:space="preserve">  </w:t>
      </w:r>
      <w:r>
        <w:rPr>
          <w:rFonts w:ascii="仿宋_GB2312" w:eastAsia="仿宋_GB2312"/>
          <w:sz w:val="32"/>
          <w:szCs w:val="32"/>
        </w:rPr>
        <w:t>参加各类奖助学金评选的学生应当具备以下基本条件：</w:t>
      </w:r>
    </w:p>
    <w:p w14:paraId="0035C596">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rPr>
      </w:pPr>
      <w:r>
        <w:rPr>
          <w:rFonts w:ascii="仿宋_GB2312" w:eastAsia="仿宋_GB2312"/>
          <w:sz w:val="32"/>
          <w:szCs w:val="32"/>
        </w:rPr>
        <w:t>（一）热爱祖国，拥护中国共产党的领导；</w:t>
      </w:r>
    </w:p>
    <w:p w14:paraId="29E9AD10">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rPr>
      </w:pPr>
      <w:r>
        <w:rPr>
          <w:rFonts w:ascii="仿宋_GB2312" w:eastAsia="仿宋_GB2312"/>
          <w:sz w:val="32"/>
          <w:szCs w:val="32"/>
        </w:rPr>
        <w:t>（二）热爱母校，积极践行“</w:t>
      </w:r>
      <w:r>
        <w:rPr>
          <w:rFonts w:hint="eastAsia" w:ascii="微软雅黑" w:hAnsi="微软雅黑" w:eastAsia="微软雅黑" w:cs="微软雅黑"/>
          <w:sz w:val="32"/>
          <w:szCs w:val="32"/>
        </w:rPr>
        <w:t>竢</w:t>
      </w:r>
      <w:r>
        <w:rPr>
          <w:rFonts w:hint="eastAsia" w:ascii="仿宋_GB2312" w:hAnsi="仿宋_GB2312" w:eastAsia="仿宋_GB2312" w:cs="仿宋_GB2312"/>
          <w:sz w:val="32"/>
          <w:szCs w:val="32"/>
        </w:rPr>
        <w:t>实扬华，自强不息</w:t>
      </w:r>
      <w:r>
        <w:rPr>
          <w:rFonts w:ascii="仿宋_GB2312" w:eastAsia="仿宋_GB2312"/>
          <w:sz w:val="32"/>
          <w:szCs w:val="32"/>
        </w:rPr>
        <w:t>”的交大精神和“精勤求学，敦笃励志，果毅力行，忠恕任事”的交大校训；</w:t>
      </w:r>
    </w:p>
    <w:p w14:paraId="04A100AE">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rPr>
      </w:pPr>
      <w:r>
        <w:rPr>
          <w:rFonts w:ascii="仿宋_GB2312" w:eastAsia="仿宋_GB2312"/>
          <w:sz w:val="32"/>
          <w:szCs w:val="32"/>
        </w:rPr>
        <w:t>（三）遵守宪法、法律、法规，遵守公民道德规范，遵守学校章程和规章制度，遵守学生行为规范，尊敬师长，团结同学，关心集体，具有良好的行为习惯；</w:t>
      </w:r>
    </w:p>
    <w:p w14:paraId="2FA3C81D">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rPr>
      </w:pPr>
      <w:r>
        <w:rPr>
          <w:rFonts w:ascii="仿宋_GB2312" w:eastAsia="仿宋_GB2312"/>
          <w:sz w:val="32"/>
          <w:szCs w:val="32"/>
        </w:rPr>
        <w:t>（四）刻苦学习，恪守学术道德，勇于探索，积极实践；</w:t>
      </w:r>
    </w:p>
    <w:p w14:paraId="3940BD27">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rPr>
      </w:pPr>
      <w:r>
        <w:rPr>
          <w:rFonts w:ascii="仿宋_GB2312" w:eastAsia="仿宋_GB2312"/>
          <w:sz w:val="32"/>
          <w:szCs w:val="32"/>
        </w:rPr>
        <w:t>（五）积极参加各类社会工作和文体活动，身心健康。</w:t>
      </w:r>
    </w:p>
    <w:p w14:paraId="03A558FD">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第六条</w:t>
      </w:r>
      <w:r>
        <w:rPr>
          <w:rFonts w:hint="eastAsia" w:ascii="仿宋_GB2312" w:eastAsia="仿宋_GB2312"/>
          <w:sz w:val="32"/>
          <w:szCs w:val="32"/>
        </w:rPr>
        <w:t xml:space="preserve"> </w:t>
      </w:r>
      <w:r>
        <w:rPr>
          <w:rFonts w:ascii="仿宋_GB2312" w:eastAsia="仿宋_GB2312"/>
          <w:sz w:val="32"/>
          <w:szCs w:val="32"/>
        </w:rPr>
        <w:t>有下列情况之一者，不得申请各类奖助学金：</w:t>
      </w:r>
    </w:p>
    <w:p w14:paraId="795390E3">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（一）有未解除纪律处分者；</w:t>
      </w:r>
    </w:p>
    <w:p w14:paraId="591B1D50">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（二）</w:t>
      </w:r>
      <w:r>
        <w:rPr>
          <w:rFonts w:hint="eastAsia" w:ascii="仿宋_GB2312" w:eastAsia="仿宋_GB2312"/>
          <w:sz w:val="32"/>
          <w:szCs w:val="32"/>
        </w:rPr>
        <w:t>恶</w:t>
      </w:r>
      <w:r>
        <w:rPr>
          <w:rFonts w:ascii="仿宋_GB2312" w:eastAsia="仿宋_GB2312"/>
          <w:sz w:val="32"/>
          <w:szCs w:val="32"/>
        </w:rPr>
        <w:t>意拖欠学费者。</w:t>
      </w:r>
    </w:p>
    <w:p w14:paraId="0040721D">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第七条</w:t>
      </w:r>
      <w:r>
        <w:rPr>
          <w:rFonts w:hint="eastAsia" w:ascii="仿宋_GB2312" w:eastAsia="仿宋_GB2312"/>
          <w:sz w:val="32"/>
          <w:szCs w:val="32"/>
        </w:rPr>
        <w:t xml:space="preserve">  </w:t>
      </w:r>
      <w:r>
        <w:rPr>
          <w:rFonts w:ascii="仿宋_GB2312" w:eastAsia="仿宋_GB2312"/>
          <w:sz w:val="32"/>
          <w:szCs w:val="32"/>
        </w:rPr>
        <w:t>国家奖助学金</w:t>
      </w:r>
    </w:p>
    <w:p w14:paraId="4366732A">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国家奖学金、国家励志奖学金、国家助学金的评选条件和奖助标准按照《西南交通大学本科生国家奖助学金评审管理办法》执行。</w:t>
      </w:r>
    </w:p>
    <w:p w14:paraId="4C5CE7AD">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第八条</w:t>
      </w:r>
      <w:r>
        <w:rPr>
          <w:rFonts w:hint="eastAsia" w:ascii="仿宋_GB2312" w:eastAsia="仿宋_GB2312"/>
          <w:sz w:val="32"/>
          <w:szCs w:val="32"/>
        </w:rPr>
        <w:t xml:space="preserve">  </w:t>
      </w:r>
      <w:r>
        <w:rPr>
          <w:rFonts w:ascii="仿宋_GB2312" w:eastAsia="仿宋_GB2312"/>
          <w:sz w:val="32"/>
          <w:szCs w:val="32"/>
        </w:rPr>
        <w:t>综合奖学金</w:t>
      </w:r>
    </w:p>
    <w:p w14:paraId="0B6AB25B">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综合奖学金的评选条件和奖助标准按照《西南交通大学本科生国家奖助学金评审管理办法》执行</w:t>
      </w:r>
      <w:r>
        <w:rPr>
          <w:rFonts w:hint="eastAsia" w:ascii="仿宋_GB2312" w:eastAsia="仿宋_GB2312"/>
          <w:sz w:val="32"/>
          <w:szCs w:val="32"/>
        </w:rPr>
        <w:t>。</w:t>
      </w:r>
    </w:p>
    <w:p w14:paraId="52DA117D">
      <w:pPr>
        <w:tabs>
          <w:tab w:val="left" w:pos="1269"/>
        </w:tabs>
        <w:snapToGrid w:val="0"/>
        <w:spacing w:before="120" w:beforeLines="50" w:after="120" w:afterLines="50" w:line="560" w:lineRule="exact"/>
        <w:ind w:firstLine="640" w:firstLineChars="200"/>
        <w:rPr>
          <w:rFonts w:hint="eastAsia" w:ascii="仿宋_GB2312" w:eastAsia="仿宋_GB2312"/>
          <w:sz w:val="32"/>
          <w:szCs w:val="32"/>
          <w:highlight w:val="yellow"/>
        </w:rPr>
      </w:pPr>
      <w:r>
        <w:rPr>
          <w:rFonts w:hint="eastAsia" w:ascii="仿宋_GB2312" w:eastAsia="仿宋_GB2312"/>
          <w:sz w:val="32"/>
          <w:szCs w:val="32"/>
          <w:highlight w:val="yellow"/>
        </w:rPr>
        <w:t>综合奖学金申请者应通过该学年</w:t>
      </w:r>
      <w:r>
        <w:rPr>
          <w:rFonts w:ascii="仿宋_GB2312" w:eastAsia="仿宋_GB2312"/>
          <w:sz w:val="32"/>
          <w:szCs w:val="32"/>
          <w:highlight w:val="yellow"/>
          <w:lang w:val="en-US"/>
        </w:rPr>
        <w:t>专业培养方案要求的全部必修课程和专业限选课程</w:t>
      </w:r>
      <w:r>
        <w:rPr>
          <w:rFonts w:hint="eastAsia" w:ascii="仿宋_GB2312" w:eastAsia="仿宋_GB2312"/>
          <w:sz w:val="32"/>
          <w:szCs w:val="32"/>
          <w:highlight w:val="yellow"/>
        </w:rPr>
        <w:t>。</w:t>
      </w:r>
    </w:p>
    <w:p w14:paraId="5ADE85A6">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第九条</w:t>
      </w:r>
      <w:r>
        <w:rPr>
          <w:rFonts w:hint="eastAsia" w:ascii="仿宋_GB2312" w:eastAsia="仿宋_GB2312"/>
          <w:sz w:val="32"/>
          <w:szCs w:val="32"/>
        </w:rPr>
        <w:t xml:space="preserve"> </w:t>
      </w:r>
      <w:r>
        <w:rPr>
          <w:rFonts w:ascii="仿宋_GB2312" w:eastAsia="仿宋_GB2312"/>
          <w:sz w:val="32"/>
          <w:szCs w:val="32"/>
        </w:rPr>
        <w:t>专项奖助学金</w:t>
      </w:r>
    </w:p>
    <w:p w14:paraId="25BA1350">
      <w:pPr>
        <w:tabs>
          <w:tab w:val="left" w:pos="1269"/>
        </w:tabs>
        <w:snapToGrid w:val="0"/>
        <w:spacing w:before="120" w:beforeLines="50" w:after="120" w:afterLines="50" w:line="560" w:lineRule="exact"/>
        <w:ind w:firstLine="640" w:firstLineChars="200"/>
        <w:rPr>
          <w:rFonts w:hint="eastAsia" w:ascii="仿宋_GB2312" w:eastAsia="仿宋_GB2312"/>
          <w:sz w:val="32"/>
          <w:szCs w:val="32"/>
        </w:rPr>
      </w:pPr>
      <w:r>
        <w:rPr>
          <w:rFonts w:ascii="仿宋_GB2312" w:eastAsia="仿宋_GB2312"/>
          <w:sz w:val="32"/>
          <w:szCs w:val="32"/>
        </w:rPr>
        <w:t>专项奖助学金具体评选条件和奖助标准按照各专项奖助学金相关协议和评定办法执行。</w:t>
      </w:r>
    </w:p>
    <w:p w14:paraId="04CBE517">
      <w:pPr>
        <w:tabs>
          <w:tab w:val="left" w:pos="1269"/>
        </w:tabs>
        <w:spacing w:before="120" w:beforeLines="50" w:after="120" w:afterLines="50" w:line="560" w:lineRule="exact"/>
        <w:jc w:val="center"/>
        <w:rPr>
          <w:rFonts w:hint="eastAsia" w:ascii="黑体" w:hAnsi="黑体" w:eastAsia="黑体"/>
          <w:b/>
          <w:sz w:val="32"/>
          <w:szCs w:val="32"/>
        </w:rPr>
      </w:pPr>
      <w:r>
        <w:rPr>
          <w:rFonts w:hint="eastAsia" w:ascii="黑体" w:hAnsi="黑体" w:eastAsia="黑体"/>
          <w:b/>
          <w:sz w:val="32"/>
          <w:szCs w:val="32"/>
        </w:rPr>
        <w:t>第四章 评审机构及职责</w:t>
      </w:r>
    </w:p>
    <w:p w14:paraId="1D20520A">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第十</w:t>
      </w:r>
      <w:r>
        <w:rPr>
          <w:rFonts w:hint="eastAsia" w:ascii="仿宋_GB2312" w:eastAsia="仿宋_GB2312"/>
          <w:sz w:val="32"/>
          <w:szCs w:val="32"/>
          <w:lang w:val="en-US"/>
        </w:rPr>
        <w:t>一</w:t>
      </w:r>
      <w:r>
        <w:rPr>
          <w:rFonts w:hint="eastAsia" w:ascii="仿宋_GB2312" w:eastAsia="仿宋_GB2312"/>
          <w:sz w:val="32"/>
          <w:szCs w:val="32"/>
        </w:rPr>
        <w:t xml:space="preserve">条 </w:t>
      </w:r>
      <w:r>
        <w:rPr>
          <w:rFonts w:hint="eastAsia" w:ascii="仿宋_GB2312" w:eastAsia="仿宋_GB2312"/>
          <w:color w:val="000000" w:themeColor="text1"/>
          <w:sz w:val="32"/>
          <w:szCs w:val="32"/>
          <w14:textFill>
            <w14:solidFill>
              <w14:schemeClr w14:val="tx1"/>
            </w14:solidFill>
          </w14:textFill>
        </w:rPr>
        <w:t>成立第二学士学位奖励</w:t>
      </w:r>
      <w:bookmarkStart w:id="2" w:name="OLE_LINK4"/>
      <w:r>
        <w:rPr>
          <w:rFonts w:hint="eastAsia" w:ascii="仿宋_GB2312" w:eastAsia="仿宋_GB2312"/>
          <w:color w:val="000000" w:themeColor="text1"/>
          <w:sz w:val="32"/>
          <w:szCs w:val="32"/>
          <w14:textFill>
            <w14:solidFill>
              <w14:schemeClr w14:val="tx1"/>
            </w14:solidFill>
          </w14:textFill>
        </w:rPr>
        <w:t>评审小组</w:t>
      </w:r>
      <w:bookmarkEnd w:id="2"/>
      <w:r>
        <w:rPr>
          <w:rFonts w:hint="eastAsia" w:ascii="仿宋_GB2312" w:eastAsia="仿宋_GB2312"/>
          <w:color w:val="000000" w:themeColor="text1"/>
          <w:sz w:val="32"/>
          <w:szCs w:val="32"/>
          <w14:textFill>
            <w14:solidFill>
              <w14:schemeClr w14:val="tx1"/>
            </w14:solidFill>
          </w14:textFill>
        </w:rPr>
        <w:t>（以下简称“评审小组”），由峨眉校区党委书记、管委会常务副主任任组长，成员由校区学生工作负责人、教学工作负责人</w:t>
      </w:r>
      <w:bookmarkStart w:id="3" w:name="_Hlk199063994"/>
      <w:r>
        <w:rPr>
          <w:rFonts w:hint="eastAsia" w:ascii="仿宋_GB2312" w:eastAsia="仿宋_GB2312"/>
          <w:color w:val="000000" w:themeColor="text1"/>
          <w:sz w:val="32"/>
          <w:szCs w:val="32"/>
          <w14:textFill>
            <w14:solidFill>
              <w14:schemeClr w14:val="tx1"/>
            </w14:solidFill>
          </w14:textFill>
        </w:rPr>
        <w:t>、学生管理办公室主任、培养办公室主任、辅导员组成</w:t>
      </w:r>
      <w:bookmarkEnd w:id="3"/>
      <w:r>
        <w:rPr>
          <w:rFonts w:hint="eastAsia" w:ascii="仿宋_GB2312" w:eastAsia="仿宋_GB2312"/>
          <w:sz w:val="32"/>
          <w:szCs w:val="32"/>
        </w:rPr>
        <w:t>。</w:t>
      </w:r>
    </w:p>
    <w:p w14:paraId="74A4821B">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评审小组的主要职责为：</w:t>
      </w:r>
    </w:p>
    <w:p w14:paraId="662048DB">
      <w:pPr>
        <w:tabs>
          <w:tab w:val="left" w:pos="1269"/>
        </w:tabs>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（一）在学校学生奖励评审委员会的指导下开展第二学士学位学生奖助学金评审工作。</w:t>
      </w:r>
    </w:p>
    <w:p w14:paraId="7F97EDEB">
      <w:pPr>
        <w:tabs>
          <w:tab w:val="left" w:pos="1269"/>
        </w:tabs>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（二）负责评审第二学士学位学生各类奖助学金，确定拟推荐人选名单；</w:t>
      </w:r>
    </w:p>
    <w:p w14:paraId="028F53F3">
      <w:pPr>
        <w:tabs>
          <w:tab w:val="left" w:pos="1269"/>
        </w:tabs>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（三）负责研究处理第二学士学位各类奖助学金评选中出现的特殊情况。</w:t>
      </w:r>
    </w:p>
    <w:p w14:paraId="44820009">
      <w:pPr>
        <w:tabs>
          <w:tab w:val="left" w:pos="1269"/>
        </w:tabs>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评审小组办公室设在</w:t>
      </w:r>
      <w:r>
        <w:rPr>
          <w:rFonts w:hint="eastAsia" w:ascii="仿宋_GB2312" w:eastAsia="仿宋_GB2312"/>
          <w:color w:val="000000" w:themeColor="text1"/>
          <w:sz w:val="32"/>
          <w:szCs w:val="32"/>
          <w14:textFill>
            <w14:solidFill>
              <w14:schemeClr w14:val="tx1"/>
            </w14:solidFill>
          </w14:textFill>
        </w:rPr>
        <w:t>学生管理办公室，负责具体工作的实施。</w:t>
      </w:r>
    </w:p>
    <w:p w14:paraId="4F944341">
      <w:pPr>
        <w:tabs>
          <w:tab w:val="left" w:pos="1269"/>
        </w:tabs>
        <w:spacing w:before="120" w:beforeLines="50" w:after="120" w:afterLines="50" w:line="560" w:lineRule="exact"/>
        <w:jc w:val="center"/>
        <w:rPr>
          <w:rFonts w:hint="eastAsia" w:ascii="黑体" w:hAnsi="黑体" w:eastAsia="黑体"/>
          <w:b/>
          <w:sz w:val="32"/>
          <w:szCs w:val="32"/>
        </w:rPr>
      </w:pPr>
      <w:r>
        <w:rPr>
          <w:rFonts w:hint="eastAsia" w:ascii="黑体" w:hAnsi="黑体" w:eastAsia="黑体"/>
          <w:b/>
          <w:sz w:val="32"/>
          <w:szCs w:val="32"/>
        </w:rPr>
        <w:t>第五章 评审办法及程序</w:t>
      </w:r>
    </w:p>
    <w:p w14:paraId="6F236391">
      <w:pPr>
        <w:pStyle w:val="7"/>
        <w:spacing w:line="560" w:lineRule="exact"/>
        <w:ind w:firstLine="640" w:firstLineChars="200"/>
        <w:jc w:val="both"/>
        <w:rPr>
          <w:rFonts w:hint="eastAsia" w:ascii="仿宋_GB2312" w:eastAsia="仿宋_GB2312"/>
          <w:sz w:val="32"/>
          <w:szCs w:val="32"/>
        </w:rPr>
      </w:pPr>
      <w:r>
        <w:rPr>
          <w:rFonts w:ascii="仿宋_GB2312" w:eastAsia="仿宋_GB2312"/>
          <w:sz w:val="32"/>
          <w:szCs w:val="32"/>
        </w:rPr>
        <w:t>第十二条</w:t>
      </w:r>
      <w:r>
        <w:rPr>
          <w:rFonts w:hint="eastAsia" w:ascii="仿宋_GB2312" w:eastAsia="仿宋_GB2312"/>
          <w:sz w:val="32"/>
          <w:szCs w:val="32"/>
        </w:rPr>
        <w:t xml:space="preserve"> </w:t>
      </w:r>
      <w:r>
        <w:rPr>
          <w:rFonts w:ascii="仿宋_GB2312" w:eastAsia="仿宋_GB2312"/>
          <w:sz w:val="32"/>
          <w:szCs w:val="32"/>
        </w:rPr>
        <w:t>原则上，各类奖助学金每学年评审一次。一般在每年9月-12月结合学生学年总结鉴定进行。</w:t>
      </w:r>
    </w:p>
    <w:p w14:paraId="32588F9D">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第十</w:t>
      </w:r>
      <w:r>
        <w:rPr>
          <w:rFonts w:hint="eastAsia" w:ascii="仿宋_GB2312" w:eastAsia="仿宋_GB2312"/>
          <w:sz w:val="32"/>
          <w:szCs w:val="32"/>
          <w:lang w:val="en-US"/>
        </w:rPr>
        <w:t>三</w:t>
      </w:r>
      <w:r>
        <w:rPr>
          <w:rFonts w:hint="eastAsia" w:ascii="仿宋_GB2312" w:eastAsia="仿宋_GB2312"/>
          <w:sz w:val="32"/>
          <w:szCs w:val="32"/>
        </w:rPr>
        <w:t>条 校区根据学校审批情况及各专业学生数确定各专业综合奖学金名额。</w:t>
      </w:r>
    </w:p>
    <w:p w14:paraId="5D13C81B">
      <w:pPr>
        <w:pStyle w:val="7"/>
        <w:spacing w:line="560" w:lineRule="exact"/>
        <w:ind w:firstLine="643" w:firstLineChars="200"/>
        <w:jc w:val="both"/>
        <w:rPr>
          <w:rFonts w:hint="eastAsia" w:ascii="仿宋_GB2312" w:eastAsia="仿宋_GB2312"/>
          <w:sz w:val="32"/>
          <w:szCs w:val="32"/>
        </w:rPr>
      </w:pPr>
      <w:r>
        <w:rPr>
          <w:rFonts w:ascii="仿宋_GB2312" w:eastAsia="仿宋_GB2312"/>
          <w:b/>
          <w:bCs/>
          <w:sz w:val="32"/>
          <w:szCs w:val="32"/>
        </w:rPr>
        <w:t>第十三条</w:t>
      </w:r>
      <w:r>
        <w:rPr>
          <w:rFonts w:ascii="仿宋_GB2312" w:eastAsia="仿宋_GB2312"/>
          <w:sz w:val="32"/>
          <w:szCs w:val="32"/>
        </w:rPr>
        <w:t> 原则上，各类奖助学金评选均须由学生本人提出申请。</w:t>
      </w:r>
      <w:r>
        <w:rPr>
          <w:rFonts w:hint="eastAsia" w:ascii="仿宋_GB2312" w:eastAsia="仿宋_GB2312"/>
          <w:sz w:val="32"/>
          <w:szCs w:val="32"/>
        </w:rPr>
        <w:t>峨眉校区学生管理办公室</w:t>
      </w:r>
      <w:r>
        <w:rPr>
          <w:rFonts w:ascii="仿宋_GB2312" w:eastAsia="仿宋_GB2312"/>
          <w:sz w:val="32"/>
          <w:szCs w:val="32"/>
        </w:rPr>
        <w:t>审核申请学生材料后，报</w:t>
      </w:r>
      <w:r>
        <w:rPr>
          <w:rFonts w:hint="eastAsia" w:ascii="仿宋_GB2312" w:eastAsia="仿宋_GB2312"/>
          <w:sz w:val="32"/>
          <w:szCs w:val="32"/>
        </w:rPr>
        <w:t>评审小组评审</w:t>
      </w:r>
      <w:r>
        <w:rPr>
          <w:rFonts w:ascii="仿宋_GB2312" w:eastAsia="仿宋_GB2312"/>
          <w:sz w:val="32"/>
          <w:szCs w:val="32"/>
        </w:rPr>
        <w:t>，确定拟推荐人选名单，在</w:t>
      </w:r>
      <w:r>
        <w:rPr>
          <w:rFonts w:hint="eastAsia" w:ascii="仿宋_GB2312" w:eastAsia="仿宋_GB2312"/>
          <w:sz w:val="32"/>
          <w:szCs w:val="32"/>
        </w:rPr>
        <w:t>峨眉校区官网</w:t>
      </w:r>
      <w:r>
        <w:rPr>
          <w:rFonts w:ascii="仿宋_GB2312" w:eastAsia="仿宋_GB2312"/>
          <w:sz w:val="32"/>
          <w:szCs w:val="32"/>
        </w:rPr>
        <w:t>公示3个工作日。公示期间如有异议，异议人应以实名书面形式向</w:t>
      </w:r>
      <w:r>
        <w:rPr>
          <w:rFonts w:hint="eastAsia" w:ascii="仿宋_GB2312" w:eastAsia="仿宋_GB2312"/>
          <w:sz w:val="32"/>
          <w:szCs w:val="32"/>
        </w:rPr>
        <w:t>评审小组</w:t>
      </w:r>
      <w:r>
        <w:rPr>
          <w:rFonts w:ascii="仿宋_GB2312" w:eastAsia="仿宋_GB2312"/>
          <w:sz w:val="32"/>
          <w:szCs w:val="32"/>
        </w:rPr>
        <w:t>提出，并提交相关证据。</w:t>
      </w:r>
      <w:r>
        <w:rPr>
          <w:rFonts w:hint="eastAsia" w:ascii="仿宋_GB2312" w:eastAsia="仿宋_GB2312"/>
          <w:sz w:val="32"/>
          <w:szCs w:val="32"/>
        </w:rPr>
        <w:t>评审小组</w:t>
      </w:r>
      <w:r>
        <w:rPr>
          <w:rFonts w:ascii="仿宋_GB2312" w:eastAsia="仿宋_GB2312"/>
          <w:sz w:val="32"/>
          <w:szCs w:val="32"/>
        </w:rPr>
        <w:t>应在收到异议后1个工作日内，进行核实调查，并根据需要组织复核评审，并将调查核实及处理结果书面告知异议人或被异议人。经公示无异议后将拟推荐人选名单报党委学生工作部（学生资助管理中心）。</w:t>
      </w:r>
    </w:p>
    <w:p w14:paraId="613A1A0D">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第十</w:t>
      </w:r>
      <w:r>
        <w:rPr>
          <w:rFonts w:hint="eastAsia" w:ascii="仿宋_GB2312" w:eastAsia="仿宋_GB2312"/>
          <w:sz w:val="32"/>
          <w:szCs w:val="32"/>
          <w:lang w:val="en-US"/>
        </w:rPr>
        <w:t>五</w:t>
      </w:r>
      <w:r>
        <w:rPr>
          <w:rFonts w:hint="eastAsia" w:ascii="仿宋_GB2312" w:eastAsia="仿宋_GB2312"/>
          <w:sz w:val="32"/>
          <w:szCs w:val="32"/>
        </w:rPr>
        <w:t>条 综合奖学金评选、管理、奖金发放由</w:t>
      </w:r>
      <w:r>
        <w:rPr>
          <w:rFonts w:hint="eastAsia" w:ascii="仿宋_GB2312" w:eastAsia="仿宋_GB2312"/>
          <w:sz w:val="32"/>
          <w:szCs w:val="32"/>
          <w:lang w:val="en-US"/>
        </w:rPr>
        <w:t>校区</w:t>
      </w:r>
      <w:r>
        <w:rPr>
          <w:rFonts w:hint="eastAsia" w:ascii="仿宋_GB2312" w:eastAsia="仿宋_GB2312"/>
          <w:sz w:val="32"/>
          <w:szCs w:val="32"/>
        </w:rPr>
        <w:t>具体负责，并接受党委学生工作部</w:t>
      </w:r>
      <w:bookmarkStart w:id="4" w:name="OLE_LINK10"/>
      <w:bookmarkStart w:id="5" w:name="OLE_LINK12"/>
      <w:r>
        <w:rPr>
          <w:rFonts w:hint="eastAsia" w:ascii="仿宋_GB2312" w:eastAsia="仿宋_GB2312"/>
          <w:sz w:val="32"/>
          <w:szCs w:val="32"/>
        </w:rPr>
        <w:t>（</w:t>
      </w:r>
      <w:r>
        <w:rPr>
          <w:rFonts w:hint="eastAsia" w:ascii="仿宋_GB2312" w:eastAsia="仿宋_GB2312"/>
          <w:sz w:val="32"/>
          <w:szCs w:val="32"/>
          <w:lang w:val="en-US"/>
        </w:rPr>
        <w:t>学生资助管理中心）</w:t>
      </w:r>
      <w:bookmarkEnd w:id="4"/>
      <w:bookmarkEnd w:id="5"/>
      <w:r>
        <w:rPr>
          <w:rFonts w:hint="eastAsia" w:ascii="仿宋_GB2312" w:eastAsia="仿宋_GB2312"/>
          <w:sz w:val="32"/>
          <w:szCs w:val="32"/>
        </w:rPr>
        <w:t>的指导和监督。</w:t>
      </w:r>
    </w:p>
    <w:p w14:paraId="3D3D2CFE">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highlight w:val="yellow"/>
        </w:rPr>
      </w:pPr>
      <w:r>
        <w:rPr>
          <w:rFonts w:hint="eastAsia" w:ascii="仿宋_GB2312" w:eastAsia="仿宋_GB2312"/>
          <w:sz w:val="32"/>
          <w:szCs w:val="32"/>
          <w:highlight w:val="yellow"/>
        </w:rPr>
        <w:t>峨眉校区根据学校审批情况及各专业学生数确定各专业综合奖学金名额。</w:t>
      </w:r>
    </w:p>
    <w:p w14:paraId="6EF3ED01">
      <w:pPr>
        <w:tabs>
          <w:tab w:val="left" w:pos="1269"/>
        </w:tabs>
        <w:snapToGrid w:val="0"/>
        <w:spacing w:before="120" w:beforeLines="50" w:after="120" w:afterLines="50" w:line="560" w:lineRule="exact"/>
        <w:ind w:firstLine="640" w:firstLineChars="200"/>
        <w:jc w:val="both"/>
        <w:rPr>
          <w:rFonts w:hint="eastAsia" w:ascii="仿宋_GB2312" w:eastAsia="仿宋_GB2312"/>
          <w:sz w:val="32"/>
          <w:szCs w:val="32"/>
        </w:rPr>
      </w:pPr>
      <w:r>
        <w:rPr>
          <w:rFonts w:hint="eastAsia" w:ascii="仿宋_GB2312" w:eastAsia="仿宋_GB2312"/>
          <w:sz w:val="32"/>
          <w:szCs w:val="32"/>
          <w:highlight w:val="yellow"/>
        </w:rPr>
        <w:t>综合奖学金评审成绩依据为学生综合素质评价成绩，峨眉校区学生管理办公室根据学生申请、综合素质评价成绩排序和推荐名额确定拟推荐名单，并按照</w:t>
      </w:r>
      <w:r>
        <w:rPr>
          <w:rFonts w:ascii="仿宋_GB2312" w:eastAsia="仿宋_GB2312"/>
          <w:b/>
          <w:bCs/>
          <w:sz w:val="32"/>
          <w:szCs w:val="32"/>
          <w:highlight w:val="yellow"/>
        </w:rPr>
        <w:t>第十三条</w:t>
      </w:r>
      <w:r>
        <w:rPr>
          <w:rFonts w:hint="eastAsia" w:ascii="仿宋_GB2312" w:eastAsia="仿宋_GB2312"/>
          <w:b/>
          <w:bCs/>
          <w:sz w:val="32"/>
          <w:szCs w:val="32"/>
          <w:highlight w:val="yellow"/>
        </w:rPr>
        <w:t>相关要求开展工作。</w:t>
      </w:r>
    </w:p>
    <w:p w14:paraId="2EB350CF">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第十</w:t>
      </w:r>
      <w:r>
        <w:rPr>
          <w:rFonts w:hint="eastAsia" w:ascii="仿宋_GB2312" w:eastAsia="仿宋_GB2312"/>
          <w:sz w:val="32"/>
          <w:szCs w:val="32"/>
          <w:lang w:val="en-US"/>
        </w:rPr>
        <w:t>六</w:t>
      </w:r>
      <w:r>
        <w:rPr>
          <w:rFonts w:hint="eastAsia" w:ascii="仿宋_GB2312" w:eastAsia="仿宋_GB2312"/>
          <w:sz w:val="32"/>
          <w:szCs w:val="32"/>
        </w:rPr>
        <w:t>条 原则上，同一学年内，各专项奖助学金之间，专项奖助学金、国家奖学金、国家励志奖学金、综合奖学金不可兼得。</w:t>
      </w:r>
    </w:p>
    <w:p w14:paraId="37F83B11">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第十</w:t>
      </w:r>
      <w:r>
        <w:rPr>
          <w:rFonts w:hint="eastAsia" w:ascii="仿宋_GB2312" w:eastAsia="仿宋_GB2312"/>
          <w:sz w:val="32"/>
          <w:szCs w:val="32"/>
          <w:lang w:val="en-US"/>
        </w:rPr>
        <w:t>七</w:t>
      </w:r>
      <w:r>
        <w:rPr>
          <w:rFonts w:hint="eastAsia" w:ascii="仿宋_GB2312" w:eastAsia="仿宋_GB2312"/>
          <w:sz w:val="32"/>
          <w:szCs w:val="32"/>
        </w:rPr>
        <w:t xml:space="preserve">条 </w:t>
      </w:r>
      <w:r>
        <w:rPr>
          <w:rFonts w:ascii="仿宋_GB2312" w:eastAsia="仿宋_GB2312"/>
          <w:sz w:val="32"/>
          <w:szCs w:val="32"/>
        </w:rPr>
        <w:t>学生在奖助学金申请和评选过程中有弄虚作假行为的，由党委学生工作部（学生资助管理中心）调查核实后报校评审委员会取消其参评资格或撤销其所获奖励，追回奖助学金和证书。同时，视其情节轻重，依据校纪校规提出纪律处分建议，按学校规定的程序并给予纪律处分。</w:t>
      </w:r>
    </w:p>
    <w:p w14:paraId="72A3931B">
      <w:pPr>
        <w:tabs>
          <w:tab w:val="left" w:pos="1269"/>
        </w:tabs>
        <w:spacing w:before="120" w:beforeLines="50" w:after="120" w:afterLines="50" w:line="560" w:lineRule="exact"/>
        <w:jc w:val="center"/>
        <w:rPr>
          <w:rFonts w:hint="eastAsia" w:ascii="黑体" w:hAnsi="黑体" w:eastAsia="黑体"/>
          <w:b/>
          <w:sz w:val="32"/>
          <w:szCs w:val="32"/>
        </w:rPr>
      </w:pPr>
      <w:r>
        <w:rPr>
          <w:rFonts w:hint="eastAsia" w:ascii="黑体" w:hAnsi="黑体" w:eastAsia="黑体"/>
          <w:b/>
          <w:sz w:val="32"/>
          <w:szCs w:val="32"/>
        </w:rPr>
        <w:t>第六章 附则</w:t>
      </w:r>
    </w:p>
    <w:p w14:paraId="5CAA44E8">
      <w:pPr>
        <w:pStyle w:val="7"/>
        <w:spacing w:line="560" w:lineRule="exact"/>
        <w:ind w:firstLine="640" w:firstLineChars="200"/>
        <w:jc w:val="both"/>
        <w:rPr>
          <w:rFonts w:hint="eastAsia" w:ascii="仿宋_GB2312" w:eastAsia="仿宋_GB2312"/>
          <w:sz w:val="32"/>
          <w:szCs w:val="32"/>
        </w:rPr>
      </w:pPr>
      <w:r>
        <w:rPr>
          <w:rFonts w:hint="eastAsia" w:ascii="仿宋_GB2312" w:eastAsia="仿宋_GB2312"/>
          <w:sz w:val="32"/>
          <w:szCs w:val="32"/>
        </w:rPr>
        <w:t>第</w:t>
      </w:r>
      <w:r>
        <w:rPr>
          <w:rFonts w:hint="eastAsia" w:ascii="仿宋_GB2312" w:eastAsia="仿宋_GB2312"/>
          <w:sz w:val="32"/>
          <w:szCs w:val="32"/>
          <w:lang w:val="en-US"/>
        </w:rPr>
        <w:t>十九</w:t>
      </w:r>
      <w:r>
        <w:rPr>
          <w:rFonts w:hint="eastAsia" w:ascii="仿宋_GB2312" w:eastAsia="仿宋_GB2312"/>
          <w:sz w:val="32"/>
          <w:szCs w:val="32"/>
        </w:rPr>
        <w:t>条 本办法自公布之日起施行，</w:t>
      </w:r>
      <w:r>
        <w:rPr>
          <w:rFonts w:ascii="仿宋_GB2312" w:eastAsia="仿宋_GB2312"/>
          <w:sz w:val="32"/>
          <w:szCs w:val="32"/>
        </w:rPr>
        <w:t>原《西南交通大学第二学士学位综合奖学金评审管理办法（试行）》（西交峨管〔2025〕8号）即行废止。</w:t>
      </w:r>
    </w:p>
    <w:p w14:paraId="3D33B750">
      <w:pPr>
        <w:pStyle w:val="7"/>
        <w:spacing w:line="560" w:lineRule="exact"/>
        <w:ind w:firstLine="640" w:firstLineChars="200"/>
        <w:jc w:val="both"/>
        <w:rPr>
          <w:rFonts w:hint="eastAsia" w:ascii="仿宋_GB2312" w:eastAsia="仿宋_GB2312"/>
          <w:sz w:val="32"/>
          <w:szCs w:val="32"/>
          <w:lang w:val="en-US"/>
        </w:rPr>
      </w:pPr>
      <w:r>
        <w:rPr>
          <w:rFonts w:hint="eastAsia" w:ascii="仿宋_GB2312" w:eastAsia="仿宋_GB2312"/>
          <w:sz w:val="32"/>
          <w:szCs w:val="32"/>
        </w:rPr>
        <w:t xml:space="preserve">第二十条 </w:t>
      </w:r>
      <w:bookmarkStart w:id="6" w:name="OLE_LINK13"/>
      <w:r>
        <w:rPr>
          <w:rFonts w:ascii="仿宋_GB2312" w:eastAsia="仿宋_GB2312"/>
          <w:sz w:val="32"/>
          <w:szCs w:val="32"/>
          <w:lang w:val="en-US"/>
        </w:rPr>
        <w:t>本办法由</w:t>
      </w:r>
      <w:r>
        <w:rPr>
          <w:rFonts w:hint="eastAsia" w:ascii="仿宋_GB2312" w:eastAsia="仿宋_GB2312"/>
          <w:sz w:val="32"/>
          <w:szCs w:val="32"/>
          <w:lang w:val="en-US"/>
        </w:rPr>
        <w:t>峨眉校区管委会学生管理办公室</w:t>
      </w:r>
      <w:r>
        <w:rPr>
          <w:rFonts w:hint="eastAsia" w:ascii="仿宋_GB2312" w:eastAsia="仿宋_GB2312"/>
          <w:sz w:val="32"/>
          <w:szCs w:val="32"/>
        </w:rPr>
        <w:t>负责解释</w:t>
      </w:r>
      <w:r>
        <w:rPr>
          <w:rFonts w:ascii="仿宋_GB2312" w:eastAsia="仿宋_GB2312"/>
          <w:sz w:val="32"/>
          <w:szCs w:val="32"/>
          <w:lang w:val="en-US"/>
        </w:rPr>
        <w:t>。</w:t>
      </w:r>
    </w:p>
    <w:bookmarkEnd w:id="6"/>
    <w:p w14:paraId="41C8DD80">
      <w:pPr>
        <w:pStyle w:val="7"/>
        <w:spacing w:line="560" w:lineRule="exact"/>
        <w:ind w:firstLine="640" w:firstLineChars="200"/>
        <w:jc w:val="both"/>
        <w:rPr>
          <w:rFonts w:hint="eastAsia" w:ascii="仿宋_GB2312" w:eastAsia="仿宋_GB2312"/>
          <w:sz w:val="32"/>
          <w:szCs w:val="32"/>
          <w:lang w:val="en-US"/>
        </w:rPr>
      </w:pPr>
    </w:p>
    <w:p w14:paraId="0D275929">
      <w:pPr>
        <w:pStyle w:val="5"/>
        <w:spacing w:before="0" w:line="560" w:lineRule="exact"/>
        <w:ind w:left="0"/>
        <w:jc w:val="both"/>
        <w:rPr>
          <w:rFonts w:hint="eastAsia" w:ascii="仿宋_GB2312" w:eastAsia="仿宋_GB2312"/>
          <w:sz w:val="32"/>
          <w:szCs w:val="32"/>
        </w:rPr>
      </w:pPr>
    </w:p>
    <w:p w14:paraId="243B73AD">
      <w:pPr>
        <w:widowControl/>
        <w:autoSpaceDE/>
        <w:autoSpaceDN/>
        <w:rPr>
          <w:rFonts w:hint="eastAsia" w:ascii="仿宋_GB2312" w:eastAsia="仿宋_GB2312"/>
          <w:b/>
          <w:bCs/>
          <w:sz w:val="32"/>
          <w:szCs w:val="32"/>
        </w:rPr>
      </w:pPr>
    </w:p>
    <w:sectPr>
      <w:headerReference r:id="rId3" w:type="default"/>
      <w:footerReference r:id="rId4" w:type="default"/>
      <w:pgSz w:w="11920" w:h="16860"/>
      <w:pgMar w:top="1440" w:right="1800" w:bottom="1440" w:left="1800" w:header="0" w:footer="851" w:gutter="0"/>
      <w:cols w:space="720" w:num="1"/>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00000001" w:usb1="08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AC3F3">
    <w:pPr>
      <w:pStyle w:val="9"/>
      <w:numPr>
        <w:ilvl w:val="0"/>
        <w:numId w:val="1"/>
      </w:numPr>
      <w:jc w:val="center"/>
      <w:rPr>
        <w:rFonts w:hint="eastAsia"/>
      </w:rPr>
    </w:pPr>
    <w:r>
      <w:rPr>
        <w:rFonts w:hint="eastAsia"/>
      </w:rPr>
      <w:t xml:space="preserve"> </w:t>
    </w:r>
    <w:sdt>
      <w:sdtPr>
        <w:id w:val="-795607361"/>
        <w:docPartObj>
          <w:docPartGallery w:val="AutoText"/>
        </w:docPartObj>
      </w:sdtPr>
      <w:sdtContent>
        <w:r>
          <w:rPr>
            <w:sz w:val="28"/>
            <w:szCs w:val="28"/>
          </w:rPr>
          <w:fldChar w:fldCharType="begin"/>
        </w:r>
        <w:r>
          <w:rPr>
            <w:sz w:val="28"/>
            <w:szCs w:val="28"/>
          </w:rPr>
          <w:instrText xml:space="preserve">PAGE   \* MERGEFORMAT</w:instrText>
        </w:r>
        <w:r>
          <w:rPr>
            <w:sz w:val="28"/>
            <w:szCs w:val="28"/>
          </w:rPr>
          <w:fldChar w:fldCharType="separate"/>
        </w:r>
        <w:r>
          <w:rPr>
            <w:sz w:val="28"/>
            <w:szCs w:val="28"/>
          </w:rPr>
          <w:t>2</w:t>
        </w:r>
        <w:r>
          <w:rPr>
            <w:sz w:val="28"/>
            <w:szCs w:val="28"/>
          </w:rPr>
          <w:fldChar w:fldCharType="end"/>
        </w:r>
        <w:r>
          <w:rPr>
            <w:rFonts w:hint="eastAsia"/>
            <w:sz w:val="28"/>
            <w:szCs w:val="28"/>
          </w:rPr>
          <w:t xml:space="preserve"> </w:t>
        </w:r>
        <w:r>
          <w:rPr>
            <w:rFonts w:hint="eastAsia" w:ascii="仿宋_GB2312" w:hAnsi="仿宋_GB2312" w:eastAsia="仿宋_GB2312" w:cs="仿宋_GB2312"/>
            <w:sz w:val="32"/>
            <w:szCs w:val="32"/>
          </w:rPr>
          <w:t>—</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868C3">
    <w:pPr>
      <w:pStyle w:val="10"/>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CB0F7E"/>
    <w:multiLevelType w:val="multilevel"/>
    <w:tmpl w:val="04CB0F7E"/>
    <w:lvl w:ilvl="0" w:tentative="0">
      <w:start w:val="2"/>
      <w:numFmt w:val="bullet"/>
      <w:lvlText w:val="—"/>
      <w:lvlJc w:val="left"/>
      <w:pPr>
        <w:ind w:left="360" w:hanging="360"/>
      </w:pPr>
      <w:rPr>
        <w:rFonts w:hint="eastAsia" w:ascii="仿宋_GB2312" w:hAnsi="仿宋_GB2312" w:eastAsia="仿宋_GB2312" w:cs="仿宋_GB2312"/>
        <w:sz w:val="32"/>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VkY2M0MDRjOGMzNTM0YTJmNDE2NDE2NjY2MmZiMWEifQ=="/>
    <w:docVar w:name="KSO_WPS_MARK_KEY" w:val="03fbda28-c527-41c7-8aca-cc35f06b12ee"/>
  </w:docVars>
  <w:rsids>
    <w:rsidRoot w:val="00E76258"/>
    <w:rsid w:val="00010CCC"/>
    <w:rsid w:val="00026865"/>
    <w:rsid w:val="00035B67"/>
    <w:rsid w:val="00037C81"/>
    <w:rsid w:val="00037FB4"/>
    <w:rsid w:val="00041969"/>
    <w:rsid w:val="00041ABD"/>
    <w:rsid w:val="00046CAE"/>
    <w:rsid w:val="000758DF"/>
    <w:rsid w:val="00082FD7"/>
    <w:rsid w:val="0008310B"/>
    <w:rsid w:val="000A7037"/>
    <w:rsid w:val="000A7102"/>
    <w:rsid w:val="000A7180"/>
    <w:rsid w:val="000B6EBE"/>
    <w:rsid w:val="000C6FBB"/>
    <w:rsid w:val="000F38EF"/>
    <w:rsid w:val="000F7E90"/>
    <w:rsid w:val="00110F71"/>
    <w:rsid w:val="00125D0E"/>
    <w:rsid w:val="001332CB"/>
    <w:rsid w:val="00153491"/>
    <w:rsid w:val="00153D62"/>
    <w:rsid w:val="001957CA"/>
    <w:rsid w:val="001E5A8E"/>
    <w:rsid w:val="001F6C99"/>
    <w:rsid w:val="00202D0A"/>
    <w:rsid w:val="0022617C"/>
    <w:rsid w:val="002300C7"/>
    <w:rsid w:val="00231751"/>
    <w:rsid w:val="0026040F"/>
    <w:rsid w:val="0026552A"/>
    <w:rsid w:val="002714BD"/>
    <w:rsid w:val="002829EA"/>
    <w:rsid w:val="002905F6"/>
    <w:rsid w:val="002B28BE"/>
    <w:rsid w:val="002D5B51"/>
    <w:rsid w:val="002E34E4"/>
    <w:rsid w:val="002E4021"/>
    <w:rsid w:val="002E59D9"/>
    <w:rsid w:val="00306EC4"/>
    <w:rsid w:val="00310B52"/>
    <w:rsid w:val="00330C74"/>
    <w:rsid w:val="00351DAB"/>
    <w:rsid w:val="00383D75"/>
    <w:rsid w:val="003A1B64"/>
    <w:rsid w:val="003A69B8"/>
    <w:rsid w:val="003D43CD"/>
    <w:rsid w:val="003E040E"/>
    <w:rsid w:val="003E6617"/>
    <w:rsid w:val="003F065A"/>
    <w:rsid w:val="003F5129"/>
    <w:rsid w:val="00415FBD"/>
    <w:rsid w:val="00421158"/>
    <w:rsid w:val="00430AF7"/>
    <w:rsid w:val="004329C0"/>
    <w:rsid w:val="00450FF0"/>
    <w:rsid w:val="00481D67"/>
    <w:rsid w:val="004865DC"/>
    <w:rsid w:val="004B1085"/>
    <w:rsid w:val="004B6291"/>
    <w:rsid w:val="004C22FF"/>
    <w:rsid w:val="004E090D"/>
    <w:rsid w:val="004F2F4E"/>
    <w:rsid w:val="0051199C"/>
    <w:rsid w:val="00512AC2"/>
    <w:rsid w:val="005216DC"/>
    <w:rsid w:val="005264B4"/>
    <w:rsid w:val="00567AB1"/>
    <w:rsid w:val="00575EEA"/>
    <w:rsid w:val="00587F00"/>
    <w:rsid w:val="005A4F63"/>
    <w:rsid w:val="005B306A"/>
    <w:rsid w:val="005C50E1"/>
    <w:rsid w:val="005D5300"/>
    <w:rsid w:val="00632FCC"/>
    <w:rsid w:val="00641275"/>
    <w:rsid w:val="00652C64"/>
    <w:rsid w:val="0066464E"/>
    <w:rsid w:val="00666DF1"/>
    <w:rsid w:val="006747D6"/>
    <w:rsid w:val="00675C6F"/>
    <w:rsid w:val="00683562"/>
    <w:rsid w:val="006C0A11"/>
    <w:rsid w:val="006C70ED"/>
    <w:rsid w:val="006E2EB2"/>
    <w:rsid w:val="006F7A4A"/>
    <w:rsid w:val="007029AC"/>
    <w:rsid w:val="00707C4E"/>
    <w:rsid w:val="00710BC2"/>
    <w:rsid w:val="0073642C"/>
    <w:rsid w:val="0074262F"/>
    <w:rsid w:val="00742643"/>
    <w:rsid w:val="00754B0E"/>
    <w:rsid w:val="00780EAF"/>
    <w:rsid w:val="00797312"/>
    <w:rsid w:val="007B2867"/>
    <w:rsid w:val="007E15C4"/>
    <w:rsid w:val="007F7AA2"/>
    <w:rsid w:val="00815B0A"/>
    <w:rsid w:val="00820D3F"/>
    <w:rsid w:val="008249E9"/>
    <w:rsid w:val="008349FD"/>
    <w:rsid w:val="008439FD"/>
    <w:rsid w:val="00860FF9"/>
    <w:rsid w:val="008647F9"/>
    <w:rsid w:val="008833FD"/>
    <w:rsid w:val="008B5653"/>
    <w:rsid w:val="008B5AEC"/>
    <w:rsid w:val="008D0C8A"/>
    <w:rsid w:val="009167C9"/>
    <w:rsid w:val="009500AF"/>
    <w:rsid w:val="00951F4B"/>
    <w:rsid w:val="00954418"/>
    <w:rsid w:val="00960E07"/>
    <w:rsid w:val="0099116C"/>
    <w:rsid w:val="00995869"/>
    <w:rsid w:val="00997B0E"/>
    <w:rsid w:val="009D0DB6"/>
    <w:rsid w:val="009E5153"/>
    <w:rsid w:val="009F68D3"/>
    <w:rsid w:val="00A01BBE"/>
    <w:rsid w:val="00A13199"/>
    <w:rsid w:val="00A33092"/>
    <w:rsid w:val="00A40D34"/>
    <w:rsid w:val="00A44CE7"/>
    <w:rsid w:val="00A46780"/>
    <w:rsid w:val="00A56670"/>
    <w:rsid w:val="00A624FC"/>
    <w:rsid w:val="00A65D1C"/>
    <w:rsid w:val="00A82E9B"/>
    <w:rsid w:val="00A84C77"/>
    <w:rsid w:val="00AB52AD"/>
    <w:rsid w:val="00AB6988"/>
    <w:rsid w:val="00AD3034"/>
    <w:rsid w:val="00AE07E5"/>
    <w:rsid w:val="00AE62A3"/>
    <w:rsid w:val="00AF0F3B"/>
    <w:rsid w:val="00AF73A9"/>
    <w:rsid w:val="00B13887"/>
    <w:rsid w:val="00B24BA5"/>
    <w:rsid w:val="00B25B4D"/>
    <w:rsid w:val="00B31753"/>
    <w:rsid w:val="00B57671"/>
    <w:rsid w:val="00B6375F"/>
    <w:rsid w:val="00B66E0F"/>
    <w:rsid w:val="00B74950"/>
    <w:rsid w:val="00B85081"/>
    <w:rsid w:val="00BA4062"/>
    <w:rsid w:val="00BA6349"/>
    <w:rsid w:val="00BB19C4"/>
    <w:rsid w:val="00BB1C3D"/>
    <w:rsid w:val="00BE3485"/>
    <w:rsid w:val="00BF58C8"/>
    <w:rsid w:val="00C07B54"/>
    <w:rsid w:val="00C21EC8"/>
    <w:rsid w:val="00C314F4"/>
    <w:rsid w:val="00C43142"/>
    <w:rsid w:val="00C44A50"/>
    <w:rsid w:val="00C8056B"/>
    <w:rsid w:val="00C81A69"/>
    <w:rsid w:val="00CA2F63"/>
    <w:rsid w:val="00CB0E76"/>
    <w:rsid w:val="00CB1DA8"/>
    <w:rsid w:val="00CC273F"/>
    <w:rsid w:val="00CC2CD4"/>
    <w:rsid w:val="00CC4E26"/>
    <w:rsid w:val="00CD1A1E"/>
    <w:rsid w:val="00CD3CE2"/>
    <w:rsid w:val="00CE44BE"/>
    <w:rsid w:val="00D0074B"/>
    <w:rsid w:val="00D055CE"/>
    <w:rsid w:val="00D05ECF"/>
    <w:rsid w:val="00D12D2C"/>
    <w:rsid w:val="00D41860"/>
    <w:rsid w:val="00D74DED"/>
    <w:rsid w:val="00D83070"/>
    <w:rsid w:val="00D91FED"/>
    <w:rsid w:val="00D942A5"/>
    <w:rsid w:val="00D97CF9"/>
    <w:rsid w:val="00DA3B98"/>
    <w:rsid w:val="00DC37C4"/>
    <w:rsid w:val="00DC5C85"/>
    <w:rsid w:val="00DF4F4A"/>
    <w:rsid w:val="00E02D22"/>
    <w:rsid w:val="00E04C4C"/>
    <w:rsid w:val="00E10E57"/>
    <w:rsid w:val="00E14923"/>
    <w:rsid w:val="00E37412"/>
    <w:rsid w:val="00E6310D"/>
    <w:rsid w:val="00E74168"/>
    <w:rsid w:val="00E74539"/>
    <w:rsid w:val="00E76258"/>
    <w:rsid w:val="00E8242F"/>
    <w:rsid w:val="00E82DCE"/>
    <w:rsid w:val="00E83F6D"/>
    <w:rsid w:val="00E8623A"/>
    <w:rsid w:val="00EB2B66"/>
    <w:rsid w:val="00EC42D4"/>
    <w:rsid w:val="00EF5F14"/>
    <w:rsid w:val="00F111B1"/>
    <w:rsid w:val="00F111DE"/>
    <w:rsid w:val="00F56E64"/>
    <w:rsid w:val="00F800E6"/>
    <w:rsid w:val="00F83F4D"/>
    <w:rsid w:val="00F94EDF"/>
    <w:rsid w:val="00FC0CF8"/>
    <w:rsid w:val="00FC5480"/>
    <w:rsid w:val="00FD60B8"/>
    <w:rsid w:val="00FE72D5"/>
    <w:rsid w:val="2825466D"/>
    <w:rsid w:val="2C07011A"/>
    <w:rsid w:val="2EB02232"/>
    <w:rsid w:val="369D6F2B"/>
    <w:rsid w:val="38CD62A3"/>
    <w:rsid w:val="3E1B3A08"/>
    <w:rsid w:val="436F6B1B"/>
    <w:rsid w:val="5E64095C"/>
    <w:rsid w:val="5F840694"/>
    <w:rsid w:val="75102D9D"/>
    <w:rsid w:val="79074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30"/>
      <w:ind w:left="84"/>
      <w:jc w:val="center"/>
      <w:outlineLvl w:val="0"/>
    </w:pPr>
    <w:rPr>
      <w:rFonts w:ascii="黑体" w:hAnsi="黑体" w:eastAsia="黑体" w:cs="黑体"/>
      <w:b/>
      <w:bCs/>
      <w:sz w:val="32"/>
      <w:szCs w:val="32"/>
    </w:rPr>
  </w:style>
  <w:style w:type="paragraph" w:styleId="3">
    <w:name w:val="heading 2"/>
    <w:basedOn w:val="1"/>
    <w:next w:val="1"/>
    <w:qFormat/>
    <w:uiPriority w:val="1"/>
    <w:pPr>
      <w:ind w:left="61"/>
      <w:jc w:val="center"/>
      <w:outlineLvl w:val="1"/>
    </w:pPr>
    <w:rPr>
      <w:rFonts w:ascii="黑体" w:hAnsi="黑体" w:eastAsia="黑体" w:cs="黑体"/>
      <w:b/>
      <w:bCs/>
      <w:sz w:val="30"/>
      <w:szCs w:val="30"/>
    </w:rPr>
  </w:style>
  <w:style w:type="paragraph" w:styleId="4">
    <w:name w:val="heading 3"/>
    <w:basedOn w:val="1"/>
    <w:next w:val="1"/>
    <w:qFormat/>
    <w:uiPriority w:val="1"/>
    <w:pPr>
      <w:spacing w:before="1"/>
      <w:ind w:left="1242"/>
      <w:outlineLvl w:val="2"/>
    </w:pPr>
    <w:rPr>
      <w:rFonts w:ascii="黑体" w:hAnsi="黑体" w:eastAsia="黑体" w:cs="黑体"/>
      <w:b/>
      <w:bCs/>
      <w:sz w:val="28"/>
      <w:szCs w:val="28"/>
    </w:rPr>
  </w:style>
  <w:style w:type="paragraph" w:styleId="5">
    <w:name w:val="heading 4"/>
    <w:basedOn w:val="1"/>
    <w:next w:val="1"/>
    <w:qFormat/>
    <w:uiPriority w:val="1"/>
    <w:pPr>
      <w:spacing w:before="168"/>
      <w:ind w:left="1168"/>
      <w:outlineLvl w:val="3"/>
    </w:pPr>
    <w:rPr>
      <w:b/>
      <w:bCs/>
      <w:sz w:val="24"/>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style>
  <w:style w:type="paragraph" w:styleId="7">
    <w:name w:val="Body Text"/>
    <w:basedOn w:val="1"/>
    <w:qFormat/>
    <w:uiPriority w:val="1"/>
    <w:rPr>
      <w:sz w:val="24"/>
      <w:szCs w:val="24"/>
    </w:rPr>
  </w:style>
  <w:style w:type="paragraph" w:styleId="8">
    <w:name w:val="Balloon Text"/>
    <w:basedOn w:val="1"/>
    <w:link w:val="23"/>
    <w:qFormat/>
    <w:uiPriority w:val="0"/>
    <w:rPr>
      <w:sz w:val="18"/>
      <w:szCs w:val="18"/>
    </w:rPr>
  </w:style>
  <w:style w:type="paragraph" w:styleId="9">
    <w:name w:val="footer"/>
    <w:basedOn w:val="1"/>
    <w:link w:val="19"/>
    <w:qFormat/>
    <w:uiPriority w:val="99"/>
    <w:pPr>
      <w:tabs>
        <w:tab w:val="center" w:pos="4153"/>
        <w:tab w:val="right" w:pos="8306"/>
      </w:tabs>
      <w:snapToGrid w:val="0"/>
    </w:pPr>
    <w:rPr>
      <w:sz w:val="18"/>
      <w:szCs w:val="18"/>
    </w:rPr>
  </w:style>
  <w:style w:type="paragraph" w:styleId="10">
    <w:name w:val="header"/>
    <w:basedOn w:val="1"/>
    <w:link w:val="18"/>
    <w:qFormat/>
    <w:uiPriority w:val="0"/>
    <w:pPr>
      <w:tabs>
        <w:tab w:val="center" w:pos="4153"/>
        <w:tab w:val="right" w:pos="8306"/>
      </w:tabs>
      <w:snapToGrid w:val="0"/>
      <w:jc w:val="center"/>
    </w:pPr>
    <w:rPr>
      <w:sz w:val="18"/>
      <w:szCs w:val="18"/>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table" w:customStyle="1" w:styleId="15">
    <w:name w:val="Table Normal"/>
    <w:semiHidden/>
    <w:unhideWhenUsed/>
    <w:qFormat/>
    <w:uiPriority w:val="2"/>
    <w:tblPr>
      <w:tblCellMar>
        <w:top w:w="0" w:type="dxa"/>
        <w:left w:w="0" w:type="dxa"/>
        <w:bottom w:w="0" w:type="dxa"/>
        <w:right w:w="0" w:type="dxa"/>
      </w:tblCellMar>
    </w:tblPr>
  </w:style>
  <w:style w:type="paragraph" w:styleId="16">
    <w:name w:val="List Paragraph"/>
    <w:basedOn w:val="1"/>
    <w:qFormat/>
    <w:uiPriority w:val="1"/>
  </w:style>
  <w:style w:type="paragraph" w:customStyle="1" w:styleId="17">
    <w:name w:val="Table Paragraph"/>
    <w:basedOn w:val="1"/>
    <w:qFormat/>
    <w:uiPriority w:val="1"/>
    <w:pPr>
      <w:spacing w:before="2"/>
      <w:ind w:left="107"/>
    </w:pPr>
  </w:style>
  <w:style w:type="character" w:customStyle="1" w:styleId="18">
    <w:name w:val="页眉 字符"/>
    <w:basedOn w:val="13"/>
    <w:link w:val="10"/>
    <w:qFormat/>
    <w:uiPriority w:val="0"/>
    <w:rPr>
      <w:rFonts w:ascii="宋体" w:hAnsi="宋体" w:eastAsia="宋体" w:cs="宋体"/>
      <w:sz w:val="18"/>
      <w:szCs w:val="18"/>
      <w:lang w:val="zh-CN" w:bidi="zh-CN"/>
    </w:rPr>
  </w:style>
  <w:style w:type="character" w:customStyle="1" w:styleId="19">
    <w:name w:val="页脚 字符"/>
    <w:basedOn w:val="13"/>
    <w:link w:val="9"/>
    <w:qFormat/>
    <w:uiPriority w:val="99"/>
    <w:rPr>
      <w:rFonts w:ascii="宋体" w:hAnsi="宋体" w:eastAsia="宋体" w:cs="宋体"/>
      <w:sz w:val="18"/>
      <w:szCs w:val="18"/>
      <w:lang w:val="zh-CN" w:bidi="zh-CN"/>
    </w:rPr>
  </w:style>
  <w:style w:type="paragraph" w:customStyle="1" w:styleId="20">
    <w:name w:val="修订1"/>
    <w:hidden/>
    <w:unhideWhenUsed/>
    <w:qFormat/>
    <w:uiPriority w:val="99"/>
    <w:rPr>
      <w:rFonts w:ascii="宋体" w:hAnsi="宋体" w:eastAsia="宋体" w:cs="宋体"/>
      <w:sz w:val="22"/>
      <w:szCs w:val="22"/>
      <w:lang w:val="zh-CN" w:eastAsia="zh-CN" w:bidi="zh-CN"/>
    </w:rPr>
  </w:style>
  <w:style w:type="character" w:styleId="21">
    <w:name w:val="Placeholder Text"/>
    <w:basedOn w:val="13"/>
    <w:unhideWhenUsed/>
    <w:qFormat/>
    <w:uiPriority w:val="99"/>
    <w:rPr>
      <w:color w:val="666666"/>
    </w:rPr>
  </w:style>
  <w:style w:type="character" w:customStyle="1" w:styleId="22">
    <w:name w:val="fontstyle01"/>
    <w:basedOn w:val="13"/>
    <w:qFormat/>
    <w:uiPriority w:val="0"/>
    <w:rPr>
      <w:rFonts w:hint="eastAsia" w:ascii="仿宋_GB2312" w:eastAsia="仿宋_GB2312"/>
      <w:color w:val="000000"/>
      <w:sz w:val="32"/>
      <w:szCs w:val="32"/>
    </w:rPr>
  </w:style>
  <w:style w:type="character" w:customStyle="1" w:styleId="23">
    <w:name w:val="批注框文本 字符"/>
    <w:basedOn w:val="13"/>
    <w:link w:val="8"/>
    <w:qFormat/>
    <w:uiPriority w:val="0"/>
    <w:rPr>
      <w:rFonts w:ascii="宋体" w:hAnsi="宋体" w:eastAsia="宋体" w:cs="宋体"/>
      <w:sz w:val="18"/>
      <w:szCs w:val="18"/>
      <w:lang w:val="zh-CN" w:bidi="zh-CN"/>
    </w:rPr>
  </w:style>
  <w:style w:type="paragraph" w:customStyle="1" w:styleId="24">
    <w:name w:val="Revision"/>
    <w:hidden/>
    <w:unhideWhenUsed/>
    <w:qFormat/>
    <w:uiPriority w:val="99"/>
    <w:rPr>
      <w:rFonts w:ascii="宋体" w:hAnsi="宋体" w:eastAsia="宋体" w:cs="宋体"/>
      <w:sz w:val="22"/>
      <w:szCs w:val="22"/>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1812</Words>
  <Characters>1817</Characters>
  <Lines>36</Lines>
  <Paragraphs>15</Paragraphs>
  <TotalTime>253</TotalTime>
  <ScaleCrop>false</ScaleCrop>
  <LinksUpToDate>false</LinksUpToDate>
  <CharactersWithSpaces>1844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2026-05-16T09:15:00Z</dcterms:created>
  <dc:creator>wuke</dc:creator>
  <cp:lastModifiedBy>moonint</cp:lastModifiedBy>
  <cp:lastPrinted>2025-07-07T08:05:00Z</cp:lastPrinted>
  <dcterms:modified xsi:type="dcterms:W3CDTF">2026-09-04T03:14:43Z</dcterms:modified>
  <dc:title>一、</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2021-09-03T00:00:00Z</vt:filetime>
  </property>
  <property fmtid="{D5CDD505-2E9C-101B-9397-08002B2CF9AE}" pid="3" name="Creator">
    <vt:lpwstr>Microsoft® Word 2019</vt:lpwstr>
  </property>
  <property fmtid="{D5CDD505-2E9C-101B-9397-08002B2CF9AE}" pid="4" name="LastSaved">
    <vt:filetime>2025-05-06T00:00:00Z</vt:filetime>
  </property>
  <property fmtid="{D5CDD505-2E9C-101B-9397-08002B2CF9AE}" pid="5" name="KSOProductBuildVer">
    <vt:lpwstr>2052-12.1.0.21915</vt:lpwstr>
  </property>
  <property fmtid="{D5CDD505-2E9C-101B-9397-08002B2CF9AE}" pid="6" name="ICV">
    <vt:lpwstr>C8E0B71435D44E69B26F96D6447F55CA_13</vt:lpwstr>
  </property>
</Properties>
</file>