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45DB5"/>
    <w:p w14:paraId="503D7ED8"/>
    <w:p w14:paraId="4605D1EE"/>
    <w:p w14:paraId="6C48C404"/>
    <w:p w14:paraId="60EFEB7E">
      <w:pPr>
        <w:spacing w:before="0" w:after="0" w:line="360" w:lineRule="auto"/>
        <w:jc w:val="center"/>
      </w:pPr>
      <w:r>
        <w:rPr>
          <w:rFonts w:ascii="黑体" w:hAnsi="黑体" w:eastAsia="黑体"/>
          <w:b/>
          <w:sz w:val="72"/>
        </w:rPr>
        <w:t>中建八局</w:t>
      </w:r>
    </w:p>
    <w:p w14:paraId="7803D1CB">
      <w:pPr>
        <w:spacing w:before="0" w:after="240" w:line="360" w:lineRule="auto"/>
        <w:jc w:val="center"/>
      </w:pPr>
      <w:r>
        <w:rPr>
          <w:rFonts w:ascii="黑体" w:hAnsi="黑体" w:eastAsia="黑体"/>
          <w:b/>
          <w:sz w:val="72"/>
        </w:rPr>
        <w:t>"登高杯"校企共创大赛</w:t>
      </w:r>
    </w:p>
    <w:p w14:paraId="1776AD8D"/>
    <w:p w14:paraId="0E2D0D7B"/>
    <w:p w14:paraId="73389BEB"/>
    <w:p w14:paraId="6060C095"/>
    <w:p w14:paraId="2D9A32DE">
      <w:pPr>
        <w:spacing w:before="0" w:after="120" w:line="360" w:lineRule="auto"/>
        <w:jc w:val="center"/>
      </w:pPr>
      <w:r>
        <w:rPr>
          <w:rFonts w:ascii="仿宋" w:hAnsi="仿宋" w:eastAsia="仿宋"/>
          <w:b w:val="0"/>
          <w:sz w:val="36"/>
        </w:rPr>
        <w:t>中国建筑第八工程局有限公司</w:t>
      </w:r>
    </w:p>
    <w:p w14:paraId="293C9807">
      <w:pPr>
        <w:spacing w:before="0" w:after="120" w:line="360" w:lineRule="auto"/>
        <w:jc w:val="center"/>
      </w:pPr>
      <w:r>
        <w:rPr>
          <w:rFonts w:ascii="仿宋" w:hAnsi="仿宋" w:eastAsia="仿宋"/>
          <w:b w:val="0"/>
          <w:sz w:val="36"/>
        </w:rPr>
        <w:t>二〇二六年六月</w:t>
      </w:r>
    </w:p>
    <w:p w14:paraId="487F374A">
      <w:r>
        <w:br w:type="page"/>
      </w:r>
    </w:p>
    <w:p w14:paraId="09296975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一、大赛简介</w:t>
      </w:r>
    </w:p>
    <w:p w14:paraId="35954DAC">
      <w:pPr>
        <w:spacing w:before="0" w:after="60" w:line="360" w:lineRule="auto"/>
        <w:ind w:firstLine="560"/>
        <w:rPr>
          <w:rFonts w:ascii="仿宋" w:hAnsi="仿宋" w:eastAsia="仿宋"/>
          <w:b w:val="0"/>
          <w:sz w:val="28"/>
        </w:rPr>
      </w:pPr>
      <w:r>
        <w:rPr>
          <w:rFonts w:ascii="仿宋" w:hAnsi="仿宋" w:eastAsia="仿宋"/>
          <w:b w:val="0"/>
          <w:sz w:val="28"/>
        </w:rPr>
        <w:t>中国建筑第八工程局有限公司（简称"中建八局"）始建于1952年，是世界500强企业中国建筑集团的骨干成员企业，位居中国建筑业竞争力百强企业榜首，年合同额超</w:t>
      </w:r>
      <w:r>
        <w:rPr>
          <w:rFonts w:hint="eastAsia" w:ascii="仿宋" w:hAnsi="仿宋" w:eastAsia="仿宋"/>
          <w:b w:val="0"/>
          <w:sz w:val="28"/>
          <w:lang w:val="en-US" w:eastAsia="zh-CN"/>
        </w:rPr>
        <w:t>8</w:t>
      </w:r>
      <w:r>
        <w:rPr>
          <w:rFonts w:ascii="仿宋" w:hAnsi="仿宋" w:eastAsia="仿宋"/>
          <w:b w:val="0"/>
          <w:sz w:val="28"/>
        </w:rPr>
        <w:t>000亿元，营业收入超4000亿元。业务覆盖投资、建造、运营全产业链，在超高层、文博场馆、交通枢纽、新型基础设施等领域打造了众多行业标杆。</w:t>
      </w:r>
    </w:p>
    <w:p w14:paraId="76BC671B">
      <w:pPr>
        <w:spacing w:before="0" w:after="60" w:line="360" w:lineRule="auto"/>
        <w:ind w:firstLine="560"/>
        <w:rPr>
          <w:rFonts w:ascii="仿宋" w:hAnsi="仿宋" w:eastAsia="仿宋"/>
          <w:b w:val="0"/>
          <w:sz w:val="28"/>
        </w:rPr>
      </w:pPr>
      <w:r>
        <w:rPr>
          <w:rFonts w:ascii="仿宋" w:hAnsi="仿宋" w:eastAsia="仿宋"/>
          <w:b w:val="0"/>
          <w:sz w:val="28"/>
        </w:rPr>
        <w:t>为深化校企合作、促进产学研深度融合、发掘培养优秀人才，中建八局</w:t>
      </w:r>
      <w:r>
        <w:rPr>
          <w:rFonts w:hint="eastAsia"/>
          <w:b w:val="0"/>
          <w:sz w:val="28"/>
          <w:lang w:val="en-US" w:eastAsia="zh-CN"/>
        </w:rPr>
        <w:t>计划于2026年10-11月</w:t>
      </w:r>
      <w:r>
        <w:rPr>
          <w:rFonts w:ascii="仿宋" w:hAnsi="仿宋" w:eastAsia="仿宋"/>
          <w:b w:val="0"/>
          <w:sz w:val="28"/>
        </w:rPr>
        <w:t>举办"登高杯"校企共创大赛。大赛秉承"以赛促创、以赛促研、以赛促才"的理念，面向</w:t>
      </w:r>
      <w:bookmarkStart w:id="0" w:name="_GoBack"/>
      <w:bookmarkEnd w:id="0"/>
      <w:r>
        <w:rPr>
          <w:rFonts w:ascii="仿宋" w:hAnsi="仿宋" w:eastAsia="仿宋"/>
          <w:b w:val="0"/>
          <w:sz w:val="28"/>
        </w:rPr>
        <w:t>国内顶尖高校征集创新解决方案，助力企业技术升级与产业转型，同时为高校师生提供工程实践与成果转化的优质平台。</w:t>
      </w:r>
    </w:p>
    <w:p w14:paraId="2963B9C1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本次大赛设置科研转化、人工智能、文旅设计、规划设计四大赛道，覆盖</w:t>
      </w:r>
      <w:r>
        <w:rPr>
          <w:rFonts w:hint="eastAsia"/>
          <w:b w:val="0"/>
          <w:sz w:val="28"/>
          <w:lang w:val="en-US" w:eastAsia="zh-CN"/>
        </w:rPr>
        <w:t>行业</w:t>
      </w:r>
      <w:r>
        <w:rPr>
          <w:rFonts w:ascii="仿宋" w:hAnsi="仿宋" w:eastAsia="仿宋"/>
          <w:b w:val="0"/>
          <w:sz w:val="28"/>
        </w:rPr>
        <w:t>核心业务领域的关键需求，旨在汇聚高校智慧，共解行业难题。</w:t>
      </w:r>
    </w:p>
    <w:p w14:paraId="6C53D0A3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二、赛道设置与赛题说明</w:t>
      </w:r>
    </w:p>
    <w:p w14:paraId="1AE1EEDD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大赛共设四大赛道，参赛团队可根据自身专业方向和研究基础，在任一赛道中选择课题参赛。</w:t>
      </w:r>
    </w:p>
    <w:p w14:paraId="40499F0E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【赛道一】科研转化</w:t>
      </w:r>
    </w:p>
    <w:p w14:paraId="1B276A98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本赛道设精准需求与宽泛需求两类课题，参赛团队在以下课题中任选其一。</w:t>
      </w:r>
    </w:p>
    <w:p w14:paraId="0DEC3F7E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（一）精准需求课题</w:t>
      </w:r>
    </w:p>
    <w:p w14:paraId="4034B449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课题编号：KY-01</w:t>
      </w:r>
    </w:p>
    <w:p w14:paraId="6F7F394D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课题名称：新建及改扩建高速公路路基路面高效建造施工成套技术研究</w:t>
      </w:r>
    </w:p>
    <w:p w14:paraId="6465A488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技术领域：智能建造 / 道路工程 / 无人驾驶控制系统</w:t>
      </w:r>
    </w:p>
    <w:p w14:paraId="32DE793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核心问题：研发适用于无人化智能集群作业的路基路面施工软硬件控制设备，实现多设备协同无人作业。</w:t>
      </w:r>
    </w:p>
    <w:p w14:paraId="1033D11D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关键指标：</w:t>
      </w:r>
    </w:p>
    <w:p w14:paraId="00FBDB76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无人智能化作业设备各≥4台套，主控指标合格率100%；</w:t>
      </w:r>
    </w:p>
    <w:p w14:paraId="438151E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定位精度达厘米级，连续无人化作业时长≥8小时；</w:t>
      </w:r>
    </w:p>
    <w:p w14:paraId="0BE07B49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设备间数据通信延迟≤250ms，安全冲突预警准确率≥99%。</w:t>
      </w:r>
    </w:p>
    <w:p w14:paraId="2C81060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交付物：技术方案报告 + 关键技术路线图 + 可行性论证</w:t>
      </w:r>
    </w:p>
    <w:p w14:paraId="4C157B89">
      <w:pPr>
        <w:spacing w:before="0" w:after="60" w:line="360" w:lineRule="auto"/>
        <w:ind w:firstLine="560"/>
      </w:pPr>
    </w:p>
    <w:p w14:paraId="6900B1F1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课题编号：KY-02</w:t>
      </w:r>
    </w:p>
    <w:p w14:paraId="51FD7CFA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课题名称：气凝胶建筑保温产品研发</w:t>
      </w:r>
    </w:p>
    <w:p w14:paraId="4E7B1CB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技术领域：新型建材 / 材料科学 / 建筑围护结构</w:t>
      </w:r>
    </w:p>
    <w:p w14:paraId="43A16450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核心问题：研发性能先进、质量可控的气凝胶系列建筑保温材料，形成从原材料到建筑部品的完整供应能力。</w:t>
      </w:r>
    </w:p>
    <w:p w14:paraId="11A7A19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关键指标：</w:t>
      </w:r>
    </w:p>
    <w:p w14:paraId="1664BA0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保温板导热系数≤0.021W/(m·K），防火等级A级；</w:t>
      </w:r>
    </w:p>
    <w:p w14:paraId="616F651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保温涂料粘结强度≥0.6MPa，货架期6个月以上；</w:t>
      </w:r>
    </w:p>
    <w:p w14:paraId="67561B49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保温砂浆300kg/m³密度下抗压强度≥0.5MPa，开裂率降低80%以上。</w:t>
      </w:r>
    </w:p>
    <w:p w14:paraId="3C0CF63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交付物：材料配方方案 + 性能验证报告 + 工程应用场景分析</w:t>
      </w:r>
    </w:p>
    <w:p w14:paraId="29CE209E">
      <w:pPr>
        <w:spacing w:before="0" w:after="60" w:line="360" w:lineRule="auto"/>
        <w:ind w:firstLine="560"/>
      </w:pPr>
    </w:p>
    <w:p w14:paraId="4185A923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课题编号：KY-03</w:t>
      </w:r>
    </w:p>
    <w:p w14:paraId="1280ABCD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课题名称：竖井停车库关键建造技术研究及产品服务包研发</w:t>
      </w:r>
    </w:p>
    <w:p w14:paraId="6A343609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技术领域：地下工程 / 城市更新 / 智慧停车</w:t>
      </w:r>
    </w:p>
    <w:p w14:paraId="216695E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核心问题：系统攻克沉井式地下停车库建造技术与商业模式瓶颈，形成商业逻辑闭环。</w:t>
      </w:r>
    </w:p>
    <w:p w14:paraId="0EEAD11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关键指标：</w:t>
      </w:r>
    </w:p>
    <w:p w14:paraId="735916CB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规划选址评估指标体系（可统计、可量化）；</w:t>
      </w:r>
    </w:p>
    <w:p w14:paraId="5367A5E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投融资商业模式与差异化财务测算工具；</w:t>
      </w:r>
    </w:p>
    <w:p w14:paraId="120F2FA8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城区窄小场地沉井建造成套设备及标准化工艺；</w:t>
      </w:r>
    </w:p>
    <w:p w14:paraId="6139A73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预制拼装沉井井壁结构设计与施工工艺。</w:t>
      </w:r>
    </w:p>
    <w:p w14:paraId="65E999D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交付物：系统研究方案 + 选址评估工具原型 + 商业模式报告</w:t>
      </w:r>
    </w:p>
    <w:p w14:paraId="476AC488">
      <w:pPr>
        <w:spacing w:before="0" w:after="60" w:line="360" w:lineRule="auto"/>
        <w:ind w:firstLine="560"/>
      </w:pPr>
    </w:p>
    <w:p w14:paraId="0EEDF4DC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课题编号：KY-04</w:t>
      </w:r>
    </w:p>
    <w:p w14:paraId="14639BD8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课题名称：建筑施工高处作业个体坠落保护装置研发</w:t>
      </w:r>
    </w:p>
    <w:p w14:paraId="7887B9F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技术领域：安全工程 / 智能感知 / 可穿戴装备</w:t>
      </w:r>
    </w:p>
    <w:p w14:paraId="24FFE196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核心问题：研发集坠落感知、智能触发、多部位缓冲防护于一体的主动防高坠装备。</w:t>
      </w:r>
    </w:p>
    <w:p w14:paraId="7C8511CA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关键指标：</w:t>
      </w:r>
    </w:p>
    <w:p w14:paraId="58E2111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精准感知—快速触发—全域防护全链条体系；</w:t>
      </w:r>
    </w:p>
    <w:p w14:paraId="0239E7B1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头部+躯体协同防护方案。</w:t>
      </w:r>
    </w:p>
    <w:p w14:paraId="77D277F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交付物：装备方案 + 技术路线 + 样机设计方案</w:t>
      </w:r>
    </w:p>
    <w:p w14:paraId="53EDA5B3">
      <w:pPr>
        <w:spacing w:before="0" w:after="60" w:line="360" w:lineRule="auto"/>
        <w:ind w:firstLine="560"/>
      </w:pPr>
    </w:p>
    <w:p w14:paraId="298BFAEC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（二）宽泛需求课题</w:t>
      </w:r>
    </w:p>
    <w:p w14:paraId="7D49079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参赛团队也可基于自身研究基础，在以下领域方向中提出创新解决方案：</w:t>
      </w:r>
    </w:p>
    <w:p w14:paraId="5B28B05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智能建造（建筑机器人、装配式智能装备、无人设备自主巡检、施工数字孪生等）；</w:t>
      </w:r>
    </w:p>
    <w:p w14:paraId="612D18BD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新型建材（高性能建筑功能材料、新型水泥基板材、城市更新专用材料等）；</w:t>
      </w:r>
    </w:p>
    <w:p w14:paraId="25DBD661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科技兴安（作业人员位置定位与状态监测、智能安全预警系统、施工环境风险实时评估等）。</w:t>
      </w:r>
    </w:p>
    <w:p w14:paraId="78ED66DE">
      <w:pPr>
        <w:spacing w:before="0" w:after="60" w:line="360" w:lineRule="auto"/>
        <w:ind w:firstLine="560"/>
      </w:pPr>
    </w:p>
    <w:p w14:paraId="1E5C8D37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【赛道二】人工智能</w:t>
      </w:r>
    </w:p>
    <w:p w14:paraId="311EDC8A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本赛道共设5个课题方向。参赛团队在以下课题中任选其一，聚焦算法研发与模型验证。</w:t>
      </w:r>
    </w:p>
    <w:p w14:paraId="27F2F278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课题编号：AI-01</w:t>
      </w:r>
    </w:p>
    <w:p w14:paraId="2EB7C55E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课题名称：多元场景高质量数据集建设</w:t>
      </w:r>
    </w:p>
    <w:p w14:paraId="347542D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业务场景：建筑业人工智能深度应用需要高质量数据底座。</w:t>
      </w:r>
    </w:p>
    <w:p w14:paraId="2589ED3E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功能需求：运用数据治理、智能清洗、自动标注、质量评估与安全脱敏技术，构建覆盖市场经营、项目建造、决策风控、智慧运维等多元场景的高质量数据集。</w:t>
      </w:r>
    </w:p>
    <w:p w14:paraId="2627A1A4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验收标准：数据规范统一、安全可信、可迭代复用，支持AI模型训练与场景落地。</w:t>
      </w:r>
    </w:p>
    <w:p w14:paraId="139EAAA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交付物：数据集方案 + 数据治理流程 + 质量评估报告</w:t>
      </w:r>
    </w:p>
    <w:p w14:paraId="1CD3792B">
      <w:pPr>
        <w:spacing w:before="0" w:after="60" w:line="360" w:lineRule="auto"/>
        <w:ind w:firstLine="560"/>
      </w:pPr>
    </w:p>
    <w:p w14:paraId="0018D4B2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课题编号：AI-02</w:t>
      </w:r>
    </w:p>
    <w:p w14:paraId="6B6CD790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课题名称：城市更新及运营数智化平台</w:t>
      </w:r>
    </w:p>
    <w:p w14:paraId="020BBC38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业务场景：响应国家"无体检不更新"政策，解决城市更新决策碎片化、科学性不足问题。</w:t>
      </w:r>
    </w:p>
    <w:p w14:paraId="2ECA3969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功能需求：研究多源异构时空大数据融合治理、城市更新领域知识图谱构建、多智能体模拟仿真、低效用地智能评估等关键技术。</w:t>
      </w:r>
    </w:p>
    <w:p w14:paraId="7084EA91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验收标准：提供可量化的城市更新评估工具，能够输出更新方案社会经济影响动态推演结果。</w:t>
      </w:r>
    </w:p>
    <w:p w14:paraId="1FF2B4C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交付物：平台技术方案 + 关键算法 + Demo演示</w:t>
      </w:r>
    </w:p>
    <w:p w14:paraId="42BD7003">
      <w:pPr>
        <w:spacing w:before="0" w:after="60" w:line="360" w:lineRule="auto"/>
        <w:ind w:firstLine="560"/>
      </w:pPr>
    </w:p>
    <w:p w14:paraId="7F2F50B5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课题编号：AI-03</w:t>
      </w:r>
    </w:p>
    <w:p w14:paraId="7BE6568A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课题名称：基于人工智能的工程质量管理</w:t>
      </w:r>
    </w:p>
    <w:p w14:paraId="11BE75E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业务场景：施工现场关键质量指标（安装精度、垂直度、平整度、构造厚度、表观质量等）的智能评估。</w:t>
      </w:r>
    </w:p>
    <w:p w14:paraId="071CD164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功能需求：基于视觉、激光、传感器等多模态信息融合，构建施工语义认知建模技术，实现工序质量智能评估与实时反馈。</w:t>
      </w:r>
    </w:p>
    <w:p w14:paraId="4E9AA784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交付物：技术方案 + 模型原型 + 验证报告</w:t>
      </w:r>
    </w:p>
    <w:p w14:paraId="34B8CD7D">
      <w:pPr>
        <w:spacing w:before="0" w:after="60" w:line="360" w:lineRule="auto"/>
        <w:ind w:firstLine="560"/>
      </w:pPr>
    </w:p>
    <w:p w14:paraId="3FFDE05B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课题编号：AI-04</w:t>
      </w:r>
    </w:p>
    <w:p w14:paraId="4941821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课题名称：基于BIM的综合机电AI辅助深化设计</w:t>
      </w:r>
    </w:p>
    <w:p w14:paraId="491E6240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业务场景：建筑机电系统深化设计自动化、图纸标准化。</w:t>
      </w:r>
    </w:p>
    <w:p w14:paraId="698D42F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功能需求：融合AI算法与机电设计规范，实现管线智能排布、碰撞检测、路径优化、负荷计算、风场温度场分布与合规性校验。</w:t>
      </w:r>
    </w:p>
    <w:p w14:paraId="7612A2A4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交付物：技术方案 + 算法原型 + 演示案例</w:t>
      </w:r>
    </w:p>
    <w:p w14:paraId="7C25D359">
      <w:pPr>
        <w:spacing w:before="0" w:after="60" w:line="360" w:lineRule="auto"/>
        <w:ind w:firstLine="560"/>
      </w:pPr>
    </w:p>
    <w:p w14:paraId="7E99CD89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课题编号：AI-05</w:t>
      </w:r>
    </w:p>
    <w:p w14:paraId="5A1A5BB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课题名称：施工现场全要素数字化重构与进度管理</w:t>
      </w:r>
    </w:p>
    <w:p w14:paraId="6B34D70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业务场景：施工现场实物工作量核验与进度管理。</w:t>
      </w:r>
    </w:p>
    <w:p w14:paraId="5FF6DEA6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功能需求：基于计算机视觉识别与数据语义对齐技术，实现施工现场精准核验，提升复杂场景下进度管理时效性与精准性。</w:t>
      </w:r>
    </w:p>
    <w:p w14:paraId="153D2D6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交付物：技术方案 + 模型原型 + 验证案例</w:t>
      </w:r>
    </w:p>
    <w:p w14:paraId="46F28621">
      <w:pPr>
        <w:spacing w:before="0" w:after="60" w:line="360" w:lineRule="auto"/>
        <w:ind w:firstLine="560"/>
      </w:pPr>
    </w:p>
    <w:p w14:paraId="650395B6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【赛道三】文旅设计</w:t>
      </w:r>
    </w:p>
    <w:p w14:paraId="63DBD868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本赛道设4个课题，采用"红区硬约束+黄区引导+绿区自由"设计原则。每道赛题将明确：设计范围、核心挑战、底线约束（不可突破的硬性限制）、弹性引导（建议方向）与创新空间（完全开放的创意领域）。</w:t>
      </w:r>
    </w:p>
    <w:p w14:paraId="2FCA9E91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课题编号：WL-01</w:t>
      </w:r>
    </w:p>
    <w:p w14:paraId="3D9F8B9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课题名称：南博民国馆、扬州中运博3号馆文化IP打造与沉浸式演绎体验升级</w:t>
      </w:r>
    </w:p>
    <w:p w14:paraId="591F036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项目背景：南京博物院民国馆、扬州中国大运河博物馆3号馆均为中建八局承建的重要文化场馆，具有极高的文化价值与社会影响力，是文旅设计赛道的重要实践载体。</w:t>
      </w:r>
    </w:p>
    <w:p w14:paraId="353BBA3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设计挑战：将馆藏文化元素转化为具有传播力和商业价值的文化IP体系；通过沉浸式演绎手段提升观众体验，实现文化价值与运营收益的双赢。</w:t>
      </w:r>
    </w:p>
    <w:p w14:paraId="2BAA0D9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交付物：文化IP体系方案 + 沉浸式体验设计方案 + 运营可行性分析</w:t>
      </w:r>
    </w:p>
    <w:p w14:paraId="2AA2566A">
      <w:pPr>
        <w:spacing w:before="0" w:after="60" w:line="360" w:lineRule="auto"/>
        <w:ind w:firstLine="560"/>
      </w:pPr>
    </w:p>
    <w:p w14:paraId="0E8C4FF0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课题编号：WL-02</w:t>
      </w:r>
    </w:p>
    <w:p w14:paraId="0D8128D0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课题名称：无锡南市桥项目文化IP提炼与叙事构建/受限空间下的场景创新</w:t>
      </w:r>
    </w:p>
    <w:p w14:paraId="379BFDA9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项目背景：项目地处历史街区，空间资源有限，但文化脉络深厚，是城市更新中文商旅融合的典型场景。</w:t>
      </w:r>
    </w:p>
    <w:p w14:paraId="6B224CD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设计挑战：在受限空间条件下进行文化IP的深度挖掘与创意提炼；实现历史文化叙事的空间化表达，打造"小而美"的文旅新地标。</w:t>
      </w:r>
    </w:p>
    <w:p w14:paraId="4BD8D09B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交付物：文化IP叙事方案 + 空间场景设计方案 + 运营策划</w:t>
      </w:r>
    </w:p>
    <w:p w14:paraId="642BCDD0">
      <w:pPr>
        <w:spacing w:before="0" w:after="60" w:line="360" w:lineRule="auto"/>
        <w:ind w:firstLine="560"/>
      </w:pPr>
    </w:p>
    <w:p w14:paraId="063B17BE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课题编号：WL-03</w:t>
      </w:r>
    </w:p>
    <w:p w14:paraId="5AE943F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课题名称：河口老街项目古镇IP系统构建与视觉叙事创新/河口风物在地物产文创开发</w:t>
      </w:r>
    </w:p>
    <w:p w14:paraId="5E11965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项目背景：河口老街具有鲜明地域文化特色和历史积淀，是中建八局参与古镇保护与活化利用的重点项目。</w:t>
      </w:r>
    </w:p>
    <w:p w14:paraId="0433D6CE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设计挑战：构建具有辨识度的古镇文化IP体系；将在地物产与风物文化转化为有市场竞争力的文创产品，实现文化价值变现。</w:t>
      </w:r>
    </w:p>
    <w:p w14:paraId="5988659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交付物：古镇IP系统方案 + 文创产品设计 + 视觉叙事手册</w:t>
      </w:r>
    </w:p>
    <w:p w14:paraId="62AD3AF4">
      <w:pPr>
        <w:spacing w:before="0" w:after="60" w:line="360" w:lineRule="auto"/>
        <w:ind w:firstLine="560"/>
      </w:pPr>
    </w:p>
    <w:p w14:paraId="1760EED4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课题编号：WL-04</w:t>
      </w:r>
    </w:p>
    <w:p w14:paraId="43FD630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课题名称：苏韵十三园运营模式转型挑战</w:t>
      </w:r>
    </w:p>
    <w:p w14:paraId="77CCB7F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项目背景：中建八局在苏南地区运营的文化园区集群，面临传统运营模式转型需求，亟需创新思路提升吸引力与盈利能力。</w:t>
      </w:r>
    </w:p>
    <w:p w14:paraId="07097C34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设计挑战：在文化赋能与体验创新维度上提出运营转型方案；打造差异化体验产品，实现从"观光型"向"体验型""消费型"园区转型。</w:t>
      </w:r>
    </w:p>
    <w:p w14:paraId="59199305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交付物：运营转型方案 + 体验产品设计 + 财务测算与可行性分析</w:t>
      </w:r>
    </w:p>
    <w:p w14:paraId="1F6B3B74">
      <w:pPr>
        <w:spacing w:before="0" w:after="60" w:line="360" w:lineRule="auto"/>
        <w:ind w:firstLine="560"/>
      </w:pPr>
    </w:p>
    <w:p w14:paraId="02D2DD57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【赛道四】规划设计</w:t>
      </w:r>
    </w:p>
    <w:p w14:paraId="48D73807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本赛道围绕城市更新、城乡融合、片区开发、产业园区规划等方向选题。具体赛题将于</w:t>
      </w:r>
      <w:r>
        <w:rPr>
          <w:rFonts w:hint="eastAsia"/>
          <w:b/>
          <w:sz w:val="28"/>
          <w:lang w:val="en-US" w:eastAsia="zh-CN"/>
        </w:rPr>
        <w:t>6月下旬</w:t>
      </w:r>
      <w:r>
        <w:rPr>
          <w:rFonts w:ascii="仿宋" w:hAnsi="仿宋" w:eastAsia="仿宋"/>
          <w:b/>
          <w:sz w:val="28"/>
        </w:rPr>
        <w:t>正式发布，以下为去年参考题目，供各高校团队提前准备。</w:t>
      </w:r>
    </w:p>
    <w:p w14:paraId="6A483F2F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竞赛题目：XX市XX区城市更新项目</w:t>
      </w:r>
    </w:p>
    <w:p w14:paraId="524B6E81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项目概况：XX市XX区城市更新项目地块位于国家历史文化名城，交通便捷，基础设施完善。地块临近城市主要景观河道，周边商业等服务设施齐全。</w:t>
      </w:r>
    </w:p>
    <w:p w14:paraId="1FDEC2CD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项目模式：中建八局以F+EPC+O的模式获取项目，整体负责项目的投资、设计采购施工工程总承包和项目运营工作。资金可综合通过政策性金融工具支持获取，政策性金融工具占比不超过项目总投资建设的80%。项目建设期后，中建八局将获得20年运营期主导项目运营。</w:t>
      </w:r>
    </w:p>
    <w:p w14:paraId="5BD0256A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场地特征：项目地块为棉麻厂区旧址，现状为既有厂房、办公、餐厅等功能，包含未定级文物建筑、市级历史建筑、工业遗产建筑、一般建筑等类别。</w:t>
      </w:r>
    </w:p>
    <w:p w14:paraId="25E50CA1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设计挑战：</w:t>
      </w:r>
    </w:p>
    <w:p w14:paraId="7EE85D39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如何利用现有工业遗存，将城市发展与历史记忆巧妙融合；</w:t>
      </w:r>
    </w:p>
    <w:p w14:paraId="3A53B16E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如何通过"留、改、拆"原则保留场所记忆，恢复原有历史文化风貌；</w:t>
      </w:r>
    </w:p>
    <w:p w14:paraId="2DBC7198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如何通过城市运营盘活与更新厂区空间，激发区域活力，带动城市发展。</w:t>
      </w:r>
    </w:p>
    <w:p w14:paraId="43F4577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设计要求：赛题将明确规划范围、核心挑战、底线约束（不可突破的硬性限制）、弹性引导（建议方向）与创新空间（完全开放的创意领域），参赛团队在创新空间内自由发挥。</w:t>
      </w:r>
    </w:p>
    <w:p w14:paraId="4832415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交付物：规划设计方案 + 城市运营策划 + 经济可行性分析</w:t>
      </w:r>
    </w:p>
    <w:p w14:paraId="5726CD9F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三、赛程安排</w:t>
      </w:r>
    </w:p>
    <w:p w14:paraId="37E91B4E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（一）报名与选题：2026年6月。各高校组织报名，提交报名表与选题意向。</w:t>
      </w:r>
    </w:p>
    <w:p w14:paraId="68957D6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（二）初赛方案提交：2026年7月—9月。企业专家与高校团队定期交流，参赛团队提交完整技术方案或设计概念。</w:t>
      </w:r>
    </w:p>
    <w:p w14:paraId="1330998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（三）决赛答辩与颁奖：2026年10月—11月。入围团队现场答辩，评审出各等级奖项，举行颁奖典礼。</w:t>
      </w:r>
    </w:p>
    <w:p w14:paraId="2FF41D70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（四）成果深化与落地：2026年11月—12月。优秀成果与企业对接深化合作。</w:t>
      </w:r>
    </w:p>
    <w:p w14:paraId="30FD3B1B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四、奖项设置</w:t>
      </w:r>
    </w:p>
    <w:p w14:paraId="7A6B6FE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所有进入决赛的团队均可获奖（获奖通知书+奖金/奖品）。各赛道独立评审，奖项设置如下：</w:t>
      </w:r>
    </w:p>
    <w:p w14:paraId="5FEB972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金奖1名：奖金2万元，颁发奖杯与获奖证书。</w:t>
      </w:r>
    </w:p>
    <w:p w14:paraId="3F0B37D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银奖2名：奖金1万元，颁发奖杯与获奖证书。</w:t>
      </w:r>
    </w:p>
    <w:p w14:paraId="6BF06A14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铜奖3名：奖金0.5万元，颁发奖杯与获奖证书。</w:t>
      </w:r>
    </w:p>
    <w:p w14:paraId="4B777CD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优胜奖若干名：奖金0.3万元，颁发获奖证书。</w:t>
      </w:r>
    </w:p>
    <w:p w14:paraId="0270065F">
      <w:pPr>
        <w:spacing w:before="0" w:after="60" w:line="360" w:lineRule="auto"/>
        <w:ind w:firstLine="560"/>
      </w:pPr>
    </w:p>
    <w:p w14:paraId="3EC38E9F">
      <w:pPr>
        <w:spacing w:before="0" w:after="60" w:line="360" w:lineRule="auto"/>
        <w:ind w:firstLine="560"/>
      </w:pPr>
      <w:r>
        <w:rPr>
          <w:rFonts w:ascii="仿宋" w:hAnsi="仿宋" w:eastAsia="仿宋"/>
          <w:b/>
          <w:sz w:val="28"/>
        </w:rPr>
        <w:t>此外，各赛道另设单项奖：</w:t>
      </w:r>
    </w:p>
    <w:p w14:paraId="15C41963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最佳创新奖1名：奖金1万元，颁发奖杯与获奖证书。</w:t>
      </w:r>
    </w:p>
    <w:p w14:paraId="10708C57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最佳展示奖1名：奖金1万元，颁发奖杯与获奖证书。</w:t>
      </w:r>
    </w:p>
    <w:p w14:paraId="482C389E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企业最期待奖1名：奖金1万元，颁发奖杯与获奖证书。</w:t>
      </w:r>
    </w:p>
    <w:p w14:paraId="59C2277C">
      <w:pPr>
        <w:spacing w:before="240" w:after="120" w:line="360" w:lineRule="auto"/>
      </w:pPr>
      <w:r>
        <w:rPr>
          <w:rFonts w:ascii="黑体" w:hAnsi="黑体" w:eastAsia="黑体"/>
          <w:b/>
          <w:sz w:val="32"/>
        </w:rPr>
        <w:t>五、参赛须知</w:t>
      </w:r>
    </w:p>
    <w:p w14:paraId="0E332F82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1. 参赛对象：国内高校在读本科生、硕士研究生、博士研究生，以团队形式参赛，每队2-</w:t>
      </w:r>
      <w:r>
        <w:rPr>
          <w:rFonts w:hint="eastAsia"/>
          <w:b w:val="0"/>
          <w:sz w:val="28"/>
          <w:lang w:val="en-US" w:eastAsia="zh-CN"/>
        </w:rPr>
        <w:t>4</w:t>
      </w:r>
      <w:r>
        <w:rPr>
          <w:rFonts w:ascii="仿宋" w:hAnsi="仿宋" w:eastAsia="仿宋"/>
          <w:b w:val="0"/>
          <w:sz w:val="28"/>
        </w:rPr>
        <w:t>人，须指定1名指导教师。</w:t>
      </w:r>
    </w:p>
    <w:p w14:paraId="666BCDB6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2. 参赛团队可在四大赛道中任选一个课题参赛，每队限报一个课题。</w:t>
      </w:r>
    </w:p>
    <w:p w14:paraId="2FF5DFB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3. 企业将为参赛团队提供必要的项目背景资料和专家咨询支持，具体对接方式在报名后另行通知。</w:t>
      </w:r>
    </w:p>
    <w:p w14:paraId="1D30B82F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4. 参赛成果知识产权归属按双方签署的知识产权协议执行，优秀方案有机会获企业采购或深化合作。</w:t>
      </w:r>
    </w:p>
    <w:p w14:paraId="60972F2C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5. 本赛事不收取任何报名费用。</w:t>
      </w:r>
    </w:p>
    <w:p w14:paraId="25EF5E18">
      <w:pPr>
        <w:spacing w:before="0" w:after="60" w:line="360" w:lineRule="auto"/>
        <w:ind w:firstLine="560"/>
      </w:pPr>
      <w:r>
        <w:rPr>
          <w:rFonts w:ascii="仿宋" w:hAnsi="仿宋" w:eastAsia="仿宋"/>
          <w:b w:val="0"/>
          <w:sz w:val="28"/>
        </w:rPr>
        <w:t>6. 中建八局承担所有参赛队伍线下参赛的差旅费用（含交通、住宿），具体标准另行通知。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1B0E32"/>
    <w:rsid w:val="3B2C2F1C"/>
    <w:rsid w:val="4CD0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4112</Words>
  <Characters>4277</Characters>
  <Lines>0</Lines>
  <Paragraphs>0</Paragraphs>
  <TotalTime>24</TotalTime>
  <ScaleCrop>false</ScaleCrop>
  <LinksUpToDate>false</LinksUpToDate>
  <CharactersWithSpaces>4355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GHY</cp:lastModifiedBy>
  <dcterms:modified xsi:type="dcterms:W3CDTF">2026-07-02T06:20:45Z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eyJoZGlkIjoiMjI5ZTlkMjkyZDEwYmY2YzI0MGZiMWMwYTcxMWZkZDAiLCJ1c2VySWQiOiI1NDAxODgwMzUifQ==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2F0B8FEA884C4B67AC18710FFBEA50AD_12</vt:lpwstr>
  </property>
</Properties>
</file>