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6331B">
      <w:pPr>
        <w:jc w:val="center"/>
        <w:rPr>
          <w:rFonts w:ascii="黑体" w:hAnsi="Times New Roman" w:eastAsia="黑体" w:cs="黑体"/>
          <w:b/>
          <w:bCs/>
          <w:kern w:val="0"/>
          <w:sz w:val="30"/>
          <w:szCs w:val="30"/>
        </w:rPr>
      </w:pPr>
      <w:r>
        <w:rPr>
          <w:rFonts w:hint="eastAsia" w:ascii="黑体" w:hAnsi="Times New Roman" w:eastAsia="黑体" w:cs="黑体"/>
          <w:b/>
          <w:bCs/>
          <w:kern w:val="0"/>
          <w:sz w:val="30"/>
          <w:szCs w:val="30"/>
        </w:rPr>
        <w:t>土木工程学院本科生综合素质评价实施细则</w:t>
      </w:r>
    </w:p>
    <w:p w14:paraId="6C78CE77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为全面贯彻党的教育方针，落实立德树人根本任务，促进学生德智体美劳全面发展，培养高素质创新型人才，推进学生思想政治教育和管理工作的科学化、规范化，保证评奖评优工作的公开、公正、公平，依据</w:t>
      </w:r>
      <w:r>
        <w:rPr>
          <w:rFonts w:ascii="仿宋_GB2312" w:hAnsi="仿宋_GB2312" w:eastAsia="仿宋_GB2312"/>
          <w:sz w:val="28"/>
          <w:szCs w:val="28"/>
        </w:rPr>
        <w:t>《西南交通大学本科生综合素质评价办法》（西交校学生</w:t>
      </w:r>
      <w:r>
        <w:rPr>
          <w:rFonts w:hint="eastAsia" w:ascii="仿宋_GB2312" w:hAnsi="仿宋_GB2312" w:eastAsia="仿宋_GB2312"/>
          <w:sz w:val="28"/>
          <w:szCs w:val="28"/>
        </w:rPr>
        <w:t>[</w:t>
      </w:r>
      <w:r>
        <w:rPr>
          <w:rFonts w:ascii="仿宋_GB2312" w:hAnsi="仿宋_GB2312" w:eastAsia="仿宋_GB2312"/>
          <w:sz w:val="28"/>
          <w:szCs w:val="28"/>
        </w:rPr>
        <w:t>202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4</w:t>
      </w:r>
      <w:r>
        <w:rPr>
          <w:rFonts w:ascii="仿宋_GB2312" w:hAnsi="仿宋_GB2312" w:eastAsia="仿宋_GB2312"/>
          <w:sz w:val="28"/>
          <w:szCs w:val="28"/>
        </w:rPr>
        <w:t>]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2</w:t>
      </w:r>
      <w:r>
        <w:rPr>
          <w:rFonts w:ascii="仿宋_GB2312" w:hAnsi="仿宋_GB2312" w:eastAsia="仿宋_GB2312"/>
          <w:sz w:val="28"/>
          <w:szCs w:val="28"/>
        </w:rPr>
        <w:t>号），结合土木</w:t>
      </w:r>
      <w:r>
        <w:rPr>
          <w:rFonts w:hint="eastAsia" w:ascii="仿宋_GB2312" w:hAnsi="仿宋_GB2312" w:eastAsia="仿宋_GB2312"/>
          <w:sz w:val="28"/>
          <w:szCs w:val="28"/>
        </w:rPr>
        <w:t>工程</w:t>
      </w:r>
      <w:r>
        <w:rPr>
          <w:rFonts w:ascii="仿宋_GB2312" w:hAnsi="仿宋_GB2312" w:eastAsia="仿宋_GB2312"/>
          <w:sz w:val="28"/>
          <w:szCs w:val="28"/>
        </w:rPr>
        <w:t>学院实际情况，特制定本细则。</w:t>
      </w:r>
    </w:p>
    <w:p w14:paraId="0354C4F5">
      <w:pPr>
        <w:spacing w:line="360" w:lineRule="auto"/>
        <w:ind w:firstLine="562" w:firstLineChars="20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一、参评对象及时间</w:t>
      </w:r>
    </w:p>
    <w:p w14:paraId="2AFD340C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1</w:t>
      </w:r>
      <w:r>
        <w:rPr>
          <w:rFonts w:ascii="仿宋_GB2312" w:hAnsi="仿宋_GB2312" w:eastAsia="仿宋_GB2312"/>
          <w:b/>
          <w:bCs/>
          <w:sz w:val="28"/>
          <w:szCs w:val="28"/>
        </w:rPr>
        <w:t>.</w:t>
      </w:r>
      <w:r>
        <w:rPr>
          <w:rFonts w:hint="eastAsia" w:ascii="仿宋_GB2312" w:hAnsi="仿宋_GB2312" w:eastAsia="仿宋_GB2312"/>
          <w:b/>
          <w:bCs/>
          <w:sz w:val="28"/>
          <w:szCs w:val="28"/>
        </w:rPr>
        <w:t>参评对象</w:t>
      </w:r>
    </w:p>
    <w:p w14:paraId="5DF8E0EA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西南交通大学土木工程学院全日制在籍本科生（不含留学生）。</w:t>
      </w:r>
    </w:p>
    <w:p w14:paraId="5C91CC8B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2</w:t>
      </w:r>
      <w:r>
        <w:rPr>
          <w:rFonts w:ascii="仿宋_GB2312" w:hAnsi="仿宋_GB2312" w:eastAsia="仿宋_GB2312"/>
          <w:b/>
          <w:bCs/>
          <w:sz w:val="28"/>
          <w:szCs w:val="28"/>
        </w:rPr>
        <w:t>.</w:t>
      </w:r>
      <w:r>
        <w:rPr>
          <w:rFonts w:hint="eastAsia" w:ascii="仿宋_GB2312" w:hAnsi="仿宋_GB2312" w:eastAsia="仿宋_GB2312"/>
          <w:b/>
          <w:bCs/>
          <w:sz w:val="28"/>
          <w:szCs w:val="28"/>
        </w:rPr>
        <w:t>评价时间</w:t>
      </w:r>
    </w:p>
    <w:p w14:paraId="1B1C1C56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每学年1次，秋季学期初开展。</w:t>
      </w:r>
    </w:p>
    <w:p w14:paraId="25B8974E">
      <w:pPr>
        <w:spacing w:line="360" w:lineRule="auto"/>
        <w:ind w:firstLine="562" w:firstLineChars="20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二、评价内容及成绩计算方法</w:t>
      </w:r>
    </w:p>
    <w:p w14:paraId="5A637C02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1</w:t>
      </w:r>
      <w:r>
        <w:rPr>
          <w:rFonts w:ascii="仿宋_GB2312" w:hAnsi="仿宋_GB2312" w:eastAsia="仿宋_GB2312"/>
          <w:b/>
          <w:bCs/>
          <w:sz w:val="28"/>
          <w:szCs w:val="28"/>
        </w:rPr>
        <w:t>.</w:t>
      </w:r>
      <w:r>
        <w:rPr>
          <w:rFonts w:hint="eastAsia" w:ascii="仿宋_GB2312" w:hAnsi="仿宋_GB2312" w:eastAsia="仿宋_GB2312"/>
          <w:b/>
          <w:bCs/>
          <w:sz w:val="28"/>
          <w:szCs w:val="28"/>
        </w:rPr>
        <w:t>评价内容</w:t>
      </w:r>
    </w:p>
    <w:p w14:paraId="5D5F2764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综合素质评价分为基础性评价和发展性评价两部分。基础性评价是指学校在人才培养教育、教学等环节中的基本要求，包括德育评价、智育评价、体育评价、美育评价和劳动教育评价五项评价内容；发展性评价是指本科生在学生工作、创新创造、志愿服务、社会实践、国际交流等方面表现出的创新性、实践性和创造性的素质。</w:t>
      </w:r>
    </w:p>
    <w:p w14:paraId="4E1E7C58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综合素质评价成绩为学年评奖评优的基本依据。</w:t>
      </w:r>
    </w:p>
    <w:p w14:paraId="27EED631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2</w:t>
      </w:r>
      <w:r>
        <w:rPr>
          <w:rFonts w:ascii="仿宋_GB2312" w:hAnsi="仿宋_GB2312" w:eastAsia="仿宋_GB2312"/>
          <w:b/>
          <w:bCs/>
          <w:sz w:val="28"/>
          <w:szCs w:val="28"/>
        </w:rPr>
        <w:t>.</w:t>
      </w:r>
      <w:r>
        <w:rPr>
          <w:rFonts w:hint="eastAsia" w:ascii="仿宋_GB2312" w:hAnsi="仿宋_GB2312" w:eastAsia="仿宋_GB2312"/>
          <w:b/>
          <w:bCs/>
          <w:sz w:val="28"/>
          <w:szCs w:val="28"/>
        </w:rPr>
        <w:t>成绩计算方法</w:t>
      </w:r>
    </w:p>
    <w:p w14:paraId="1C4F34E8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综合素质评价成绩</w:t>
      </w:r>
      <w:r>
        <w:rPr>
          <w:rFonts w:ascii="仿宋_GB2312" w:hAnsi="仿宋_GB2312" w:eastAsia="仿宋_GB2312"/>
          <w:sz w:val="28"/>
          <w:szCs w:val="28"/>
        </w:rPr>
        <w:t>=</w:t>
      </w:r>
      <w:r>
        <w:rPr>
          <w:rFonts w:hint="eastAsia" w:ascii="仿宋_GB2312" w:hAnsi="仿宋_GB2312" w:eastAsia="仿宋_GB2312"/>
          <w:sz w:val="28"/>
          <w:szCs w:val="28"/>
        </w:rPr>
        <w:t>智育评价成绩×</w:t>
      </w:r>
      <w:r>
        <w:rPr>
          <w:rFonts w:ascii="仿宋_GB2312" w:hAnsi="仿宋_GB2312" w:eastAsia="仿宋_GB2312"/>
          <w:sz w:val="28"/>
          <w:szCs w:val="28"/>
        </w:rPr>
        <w:t>85%+</w:t>
      </w:r>
      <w:r>
        <w:rPr>
          <w:rFonts w:hint="eastAsia" w:ascii="仿宋_GB2312" w:hAnsi="仿宋_GB2312" w:eastAsia="仿宋_GB2312"/>
          <w:sz w:val="28"/>
          <w:szCs w:val="28"/>
        </w:rPr>
        <w:t>体育评价成绩×</w:t>
      </w:r>
      <w:r>
        <w:rPr>
          <w:rFonts w:ascii="仿宋_GB2312" w:hAnsi="仿宋_GB2312" w:eastAsia="仿宋_GB2312"/>
          <w:sz w:val="28"/>
          <w:szCs w:val="28"/>
        </w:rPr>
        <w:t>5%+</w:t>
      </w:r>
      <w:r>
        <w:rPr>
          <w:rFonts w:hint="eastAsia" w:ascii="仿宋_GB2312" w:hAnsi="仿宋_GB2312" w:eastAsia="仿宋_GB2312"/>
          <w:sz w:val="28"/>
          <w:szCs w:val="28"/>
        </w:rPr>
        <w:t>美育评价成绩×</w:t>
      </w:r>
      <w:r>
        <w:rPr>
          <w:rFonts w:ascii="仿宋_GB2312" w:hAnsi="仿宋_GB2312" w:eastAsia="仿宋_GB2312"/>
          <w:sz w:val="28"/>
          <w:szCs w:val="28"/>
        </w:rPr>
        <w:t>5%+</w:t>
      </w:r>
      <w:r>
        <w:rPr>
          <w:rFonts w:hint="eastAsia" w:ascii="仿宋_GB2312" w:hAnsi="仿宋_GB2312" w:eastAsia="仿宋_GB2312"/>
          <w:sz w:val="28"/>
          <w:szCs w:val="28"/>
        </w:rPr>
        <w:t>劳动教育评价成绩×</w:t>
      </w:r>
      <w:r>
        <w:rPr>
          <w:rFonts w:ascii="仿宋_GB2312" w:hAnsi="仿宋_GB2312" w:eastAsia="仿宋_GB2312"/>
          <w:sz w:val="28"/>
          <w:szCs w:val="28"/>
        </w:rPr>
        <w:t>5%+</w:t>
      </w:r>
      <w:r>
        <w:rPr>
          <w:rFonts w:hint="eastAsia" w:ascii="仿宋_GB2312" w:hAnsi="仿宋_GB2312" w:eastAsia="仿宋_GB2312"/>
          <w:sz w:val="28"/>
          <w:szCs w:val="28"/>
        </w:rPr>
        <w:t>发展性评价成绩</w:t>
      </w:r>
    </w:p>
    <w:p w14:paraId="080C4807">
      <w:pPr>
        <w:spacing w:line="360" w:lineRule="auto"/>
        <w:ind w:firstLine="562" w:firstLineChars="20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三、具体实施方案</w:t>
      </w:r>
    </w:p>
    <w:p w14:paraId="04B60946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（一）德育评价</w:t>
      </w:r>
    </w:p>
    <w:p w14:paraId="66A1E5A8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</w:t>
      </w:r>
      <w:r>
        <w:rPr>
          <w:rFonts w:hint="eastAsia" w:ascii="仿宋_GB2312" w:hAnsi="仿宋_GB2312" w:eastAsia="仿宋_GB2312"/>
          <w:sz w:val="28"/>
          <w:szCs w:val="28"/>
        </w:rPr>
        <w:t>班级同学和辅导员按照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优秀</w:t>
      </w:r>
      <w:r>
        <w:rPr>
          <w:rFonts w:ascii="仿宋_GB2312" w:hAnsi="仿宋_GB2312" w:eastAsia="仿宋_GB2312"/>
          <w:sz w:val="28"/>
          <w:szCs w:val="28"/>
        </w:rPr>
        <w:t>”“</w:t>
      </w:r>
      <w:r>
        <w:rPr>
          <w:rFonts w:hint="eastAsia" w:ascii="仿宋_GB2312" w:hAnsi="仿宋_GB2312" w:eastAsia="仿宋_GB2312"/>
          <w:sz w:val="28"/>
          <w:szCs w:val="28"/>
        </w:rPr>
        <w:t>良好</w:t>
      </w:r>
      <w:r>
        <w:rPr>
          <w:rFonts w:ascii="仿宋_GB2312" w:hAnsi="仿宋_GB2312" w:eastAsia="仿宋_GB2312"/>
          <w:sz w:val="28"/>
          <w:szCs w:val="28"/>
        </w:rPr>
        <w:t>”“</w:t>
      </w:r>
      <w:r>
        <w:rPr>
          <w:rFonts w:hint="eastAsia" w:ascii="仿宋_GB2312" w:hAnsi="仿宋_GB2312" w:eastAsia="仿宋_GB2312"/>
          <w:sz w:val="28"/>
          <w:szCs w:val="28"/>
        </w:rPr>
        <w:t>一般</w:t>
      </w:r>
      <w:r>
        <w:rPr>
          <w:rFonts w:ascii="仿宋_GB2312" w:hAnsi="仿宋_GB2312" w:eastAsia="仿宋_GB2312"/>
          <w:sz w:val="28"/>
          <w:szCs w:val="28"/>
        </w:rPr>
        <w:t>”“</w:t>
      </w:r>
      <w:r>
        <w:rPr>
          <w:rFonts w:hint="eastAsia" w:ascii="仿宋_GB2312" w:hAnsi="仿宋_GB2312" w:eastAsia="仿宋_GB2312"/>
          <w:sz w:val="28"/>
          <w:szCs w:val="28"/>
        </w:rPr>
        <w:t>差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四个等次进行班级同学互评和辅导员评价。具体观测点为：</w:t>
      </w:r>
    </w:p>
    <w:p w14:paraId="018AC8FC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ascii="仿宋_GB2312" w:hAnsi="仿宋_GB2312" w:eastAsia="仿宋_GB2312"/>
          <w:sz w:val="28"/>
          <w:szCs w:val="28"/>
        </w:rPr>
        <w:t>1</w:t>
      </w:r>
      <w:r>
        <w:rPr>
          <w:rFonts w:hint="eastAsia" w:ascii="仿宋_GB2312" w:hAnsi="仿宋_GB2312" w:eastAsia="仿宋_GB2312"/>
          <w:sz w:val="28"/>
          <w:szCs w:val="28"/>
        </w:rPr>
        <w:t>）坚持学习贯彻习近平新时代中国特色社会主义思想，树牢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四个意识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，坚定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四个自信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，坚决做到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两个维护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，树立中国特色社会主义共同理想，树立爱国主义思想，积极弘扬和践行社会主义核心价值观；</w:t>
      </w:r>
      <w:r>
        <w:rPr>
          <w:rFonts w:ascii="仿宋_GB2312" w:hAnsi="仿宋_GB2312" w:eastAsia="仿宋_GB2312"/>
          <w:sz w:val="28"/>
          <w:szCs w:val="28"/>
        </w:rPr>
        <w:t xml:space="preserve"> </w:t>
      </w:r>
    </w:p>
    <w:p w14:paraId="210459CD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ascii="仿宋_GB2312" w:hAnsi="仿宋_GB2312" w:eastAsia="仿宋_GB2312"/>
          <w:sz w:val="28"/>
          <w:szCs w:val="28"/>
        </w:rPr>
        <w:t>2</w:t>
      </w:r>
      <w:r>
        <w:rPr>
          <w:rFonts w:hint="eastAsia" w:ascii="仿宋_GB2312" w:hAnsi="仿宋_GB2312" w:eastAsia="仿宋_GB2312"/>
          <w:sz w:val="28"/>
          <w:szCs w:val="28"/>
        </w:rPr>
        <w:t>）热爱母校，积极践行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微软雅黑" w:hAnsi="微软雅黑" w:eastAsia="微软雅黑" w:cs="微软雅黑"/>
          <w:sz w:val="28"/>
          <w:szCs w:val="28"/>
        </w:rPr>
        <w:t>竢</w:t>
      </w:r>
      <w:r>
        <w:rPr>
          <w:rFonts w:hint="eastAsia" w:ascii="仿宋_GB2312" w:hAnsi="仿宋_GB2312" w:eastAsia="仿宋_GB2312"/>
          <w:sz w:val="28"/>
          <w:szCs w:val="28"/>
        </w:rPr>
        <w:t>实扬华，自强不息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的交大精神和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精勤求学，敦笃励志，果毅力行，忠恕任事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的交大校训；</w:t>
      </w:r>
      <w:r>
        <w:rPr>
          <w:rFonts w:ascii="仿宋_GB2312" w:hAnsi="仿宋_GB2312" w:eastAsia="仿宋_GB2312"/>
          <w:sz w:val="28"/>
          <w:szCs w:val="28"/>
        </w:rPr>
        <w:t xml:space="preserve"> </w:t>
      </w:r>
    </w:p>
    <w:p w14:paraId="0D176329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ascii="仿宋_GB2312" w:hAnsi="仿宋_GB2312" w:eastAsia="仿宋_GB2312"/>
          <w:sz w:val="28"/>
          <w:szCs w:val="28"/>
        </w:rPr>
        <w:t>3</w:t>
      </w:r>
      <w:r>
        <w:rPr>
          <w:rFonts w:hint="eastAsia" w:ascii="仿宋_GB2312" w:hAnsi="仿宋_GB2312" w:eastAsia="仿宋_GB2312"/>
          <w:sz w:val="28"/>
          <w:szCs w:val="28"/>
        </w:rPr>
        <w:t>）遵守宪法、法律、法规，遵守公民基本道德规范，遵守学校章程和规章制度，遵守学生行为规范，恪守学术道德；</w:t>
      </w:r>
      <w:r>
        <w:rPr>
          <w:rFonts w:ascii="仿宋_GB2312" w:hAnsi="仿宋_GB2312" w:eastAsia="仿宋_GB2312"/>
          <w:sz w:val="28"/>
          <w:szCs w:val="28"/>
        </w:rPr>
        <w:t xml:space="preserve"> </w:t>
      </w:r>
    </w:p>
    <w:p w14:paraId="1647F7B0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ascii="仿宋_GB2312" w:hAnsi="仿宋_GB2312" w:eastAsia="仿宋_GB2312"/>
          <w:sz w:val="28"/>
          <w:szCs w:val="28"/>
        </w:rPr>
        <w:t>4</w:t>
      </w:r>
      <w:r>
        <w:rPr>
          <w:rFonts w:hint="eastAsia" w:ascii="仿宋_GB2312" w:hAnsi="仿宋_GB2312" w:eastAsia="仿宋_GB2312"/>
          <w:sz w:val="28"/>
          <w:szCs w:val="28"/>
        </w:rPr>
        <w:t>）尊敬师长，团结同学，关心集体，有较强的集体荣誉感，积极参加各项社会工作和集体活动。</w:t>
      </w:r>
    </w:p>
    <w:p w14:paraId="7729EC26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</w:t>
      </w:r>
      <w:r>
        <w:rPr>
          <w:rFonts w:hint="eastAsia" w:ascii="仿宋_GB2312" w:hAnsi="仿宋_GB2312" w:eastAsia="仿宋_GB2312"/>
          <w:sz w:val="28"/>
          <w:szCs w:val="28"/>
        </w:rPr>
        <w:t>在评价学年中有下列情况之一，视其情节轻重，德育评价应当给予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一般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或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差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等次：</w:t>
      </w:r>
      <w:r>
        <w:rPr>
          <w:rFonts w:ascii="仿宋_GB2312" w:hAnsi="仿宋_GB2312" w:eastAsia="仿宋_GB2312"/>
          <w:sz w:val="28"/>
          <w:szCs w:val="28"/>
        </w:rPr>
        <w:t xml:space="preserve"> </w:t>
      </w:r>
    </w:p>
    <w:p w14:paraId="1BC1003F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ascii="仿宋_GB2312" w:hAnsi="仿宋_GB2312" w:eastAsia="仿宋_GB2312"/>
          <w:sz w:val="28"/>
          <w:szCs w:val="28"/>
        </w:rPr>
        <w:t>1</w:t>
      </w:r>
      <w:r>
        <w:rPr>
          <w:rFonts w:hint="eastAsia" w:ascii="仿宋_GB2312" w:hAnsi="仿宋_GB2312" w:eastAsia="仿宋_GB2312"/>
          <w:sz w:val="28"/>
          <w:szCs w:val="28"/>
        </w:rPr>
        <w:t>）违反国家法律、法规，反对四项基本原则，破坏安定团结，扰乱社会秩序，损害国家利益和社会公共利益的；</w:t>
      </w:r>
    </w:p>
    <w:p w14:paraId="35409DDF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ascii="仿宋_GB2312" w:hAnsi="仿宋_GB2312" w:eastAsia="仿宋_GB2312"/>
          <w:sz w:val="28"/>
          <w:szCs w:val="28"/>
        </w:rPr>
        <w:t>2</w:t>
      </w:r>
      <w:r>
        <w:rPr>
          <w:rFonts w:hint="eastAsia" w:ascii="仿宋_GB2312" w:hAnsi="仿宋_GB2312" w:eastAsia="仿宋_GB2312"/>
          <w:sz w:val="28"/>
          <w:szCs w:val="28"/>
        </w:rPr>
        <w:t>）严重违反公共道德行为规范，违背社会公序良俗，损害社会风纪的；</w:t>
      </w:r>
    </w:p>
    <w:p w14:paraId="6185EB25">
      <w:pPr>
        <w:pStyle w:val="10"/>
        <w:ind w:firstLine="560" w:firstLineChars="200"/>
        <w:rPr>
          <w:rFonts w:hAnsi="仿宋_GB2312" w:cstheme="minorBidi"/>
          <w:color w:val="auto"/>
          <w:kern w:val="2"/>
          <w:sz w:val="28"/>
          <w:szCs w:val="28"/>
        </w:rPr>
      </w:pPr>
      <w:r>
        <w:rPr>
          <w:rFonts w:hint="eastAsia" w:hAnsi="仿宋_GB2312" w:cstheme="minorBidi"/>
          <w:color w:val="auto"/>
          <w:kern w:val="2"/>
          <w:sz w:val="28"/>
          <w:szCs w:val="28"/>
        </w:rPr>
        <w:t>（</w:t>
      </w:r>
      <w:r>
        <w:rPr>
          <w:rFonts w:hAnsi="仿宋_GB2312" w:cstheme="minorBidi"/>
          <w:color w:val="auto"/>
          <w:kern w:val="2"/>
          <w:sz w:val="28"/>
          <w:szCs w:val="28"/>
        </w:rPr>
        <w:t>3</w:t>
      </w:r>
      <w:r>
        <w:rPr>
          <w:rFonts w:hint="eastAsia" w:hAnsi="仿宋_GB2312" w:cstheme="minorBidi"/>
          <w:color w:val="auto"/>
          <w:kern w:val="2"/>
          <w:sz w:val="28"/>
          <w:szCs w:val="28"/>
        </w:rPr>
        <w:t>）严重违反学校管理规定，扰乱学校教育教学秩序、生活秩序以及公共场所管理秩序，侵害学校的合法权益，给学校造成严重不良影响或损失的；</w:t>
      </w:r>
    </w:p>
    <w:p w14:paraId="7A4E4251">
      <w:pPr>
        <w:pStyle w:val="10"/>
        <w:ind w:firstLine="560" w:firstLineChars="200"/>
        <w:rPr>
          <w:rFonts w:hAnsi="仿宋_GB2312" w:cstheme="minorBidi"/>
          <w:color w:val="auto"/>
          <w:kern w:val="2"/>
          <w:sz w:val="28"/>
          <w:szCs w:val="28"/>
        </w:rPr>
      </w:pPr>
      <w:r>
        <w:rPr>
          <w:rFonts w:hint="eastAsia" w:hAnsi="仿宋_GB2312" w:cstheme="minorBidi"/>
          <w:color w:val="auto"/>
          <w:kern w:val="2"/>
          <w:sz w:val="28"/>
          <w:szCs w:val="28"/>
        </w:rPr>
        <w:t>（</w:t>
      </w:r>
      <w:r>
        <w:rPr>
          <w:rFonts w:hAnsi="仿宋_GB2312" w:cstheme="minorBidi"/>
          <w:color w:val="auto"/>
          <w:kern w:val="2"/>
          <w:sz w:val="28"/>
          <w:szCs w:val="28"/>
        </w:rPr>
        <w:t>4</w:t>
      </w:r>
      <w:r>
        <w:rPr>
          <w:rFonts w:hint="eastAsia" w:hAnsi="仿宋_GB2312" w:cstheme="minorBidi"/>
          <w:color w:val="auto"/>
          <w:kern w:val="2"/>
          <w:sz w:val="28"/>
          <w:szCs w:val="28"/>
        </w:rPr>
        <w:t>）严重侵害他人的合法权益，给他人造成严重不良影响或损失的。</w:t>
      </w:r>
    </w:p>
    <w:p w14:paraId="08BDBDEB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</w:t>
      </w:r>
      <w:r>
        <w:rPr>
          <w:rFonts w:hint="eastAsia" w:ascii="仿宋_GB2312" w:hAnsi="仿宋_GB2312" w:eastAsia="仿宋_GB2312"/>
          <w:sz w:val="28"/>
          <w:szCs w:val="28"/>
        </w:rPr>
        <w:t>班级同学互评和辅导员评价等次与分数的换算关系如下：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261"/>
        <w:gridCol w:w="1261"/>
        <w:gridCol w:w="1261"/>
        <w:gridCol w:w="1261"/>
      </w:tblGrid>
      <w:tr w14:paraId="3CA1C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1261" w:type="dxa"/>
          </w:tcPr>
          <w:p w14:paraId="5FB8FA8D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</w:rPr>
              <w:t>等次</w:t>
            </w:r>
          </w:p>
        </w:tc>
        <w:tc>
          <w:tcPr>
            <w:tcW w:w="1261" w:type="dxa"/>
          </w:tcPr>
          <w:p w14:paraId="0FDF19D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</w:rPr>
              <w:t>优秀</w:t>
            </w:r>
          </w:p>
        </w:tc>
        <w:tc>
          <w:tcPr>
            <w:tcW w:w="1261" w:type="dxa"/>
          </w:tcPr>
          <w:p w14:paraId="067AB87D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</w:rPr>
              <w:t>良好</w:t>
            </w:r>
          </w:p>
        </w:tc>
        <w:tc>
          <w:tcPr>
            <w:tcW w:w="1261" w:type="dxa"/>
          </w:tcPr>
          <w:p w14:paraId="337B596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</w:rPr>
              <w:t>一般</w:t>
            </w:r>
          </w:p>
        </w:tc>
        <w:tc>
          <w:tcPr>
            <w:tcW w:w="1261" w:type="dxa"/>
          </w:tcPr>
          <w:p w14:paraId="7CC19989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</w:rPr>
              <w:t>差</w:t>
            </w:r>
          </w:p>
        </w:tc>
      </w:tr>
      <w:tr w14:paraId="22745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1261" w:type="dxa"/>
          </w:tcPr>
          <w:p w14:paraId="20B1C28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</w:rPr>
              <w:t>分数</w:t>
            </w:r>
          </w:p>
        </w:tc>
        <w:tc>
          <w:tcPr>
            <w:tcW w:w="1261" w:type="dxa"/>
          </w:tcPr>
          <w:p w14:paraId="6D61144A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261" w:type="dxa"/>
          </w:tcPr>
          <w:p w14:paraId="2844A228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  <w:t>90</w:t>
            </w:r>
          </w:p>
        </w:tc>
        <w:tc>
          <w:tcPr>
            <w:tcW w:w="1261" w:type="dxa"/>
          </w:tcPr>
          <w:p w14:paraId="2C9EDBBC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  <w:t>75</w:t>
            </w:r>
          </w:p>
        </w:tc>
        <w:tc>
          <w:tcPr>
            <w:tcW w:w="1261" w:type="dxa"/>
          </w:tcPr>
          <w:p w14:paraId="76BC9D6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  <w:t>50</w:t>
            </w:r>
          </w:p>
        </w:tc>
      </w:tr>
    </w:tbl>
    <w:p w14:paraId="06BE686F">
      <w:pPr>
        <w:pStyle w:val="10"/>
        <w:ind w:firstLine="560" w:firstLineChars="200"/>
        <w:rPr>
          <w:rFonts w:hAnsi="仿宋_GB2312" w:cstheme="minorBidi"/>
          <w:color w:val="auto"/>
          <w:kern w:val="2"/>
          <w:sz w:val="28"/>
          <w:szCs w:val="28"/>
        </w:rPr>
      </w:pPr>
      <w:r>
        <w:rPr>
          <w:rFonts w:hint="eastAsia" w:hAnsi="仿宋_GB2312" w:cstheme="minorBidi"/>
          <w:color w:val="auto"/>
          <w:kern w:val="2"/>
          <w:sz w:val="28"/>
          <w:szCs w:val="28"/>
        </w:rPr>
        <w:t>4</w:t>
      </w:r>
      <w:r>
        <w:rPr>
          <w:rFonts w:hAnsi="仿宋_GB2312" w:cstheme="minorBidi"/>
          <w:color w:val="auto"/>
          <w:kern w:val="2"/>
          <w:sz w:val="28"/>
          <w:szCs w:val="28"/>
        </w:rPr>
        <w:t>.</w:t>
      </w:r>
      <w:r>
        <w:rPr>
          <w:rFonts w:hint="eastAsia" w:hAnsi="仿宋_GB2312" w:cstheme="minorBidi"/>
          <w:color w:val="auto"/>
          <w:kern w:val="2"/>
          <w:sz w:val="28"/>
          <w:szCs w:val="28"/>
        </w:rPr>
        <w:t>德育评价成绩由班级同学互评平均分（权重</w:t>
      </w:r>
      <w:r>
        <w:rPr>
          <w:rFonts w:hAnsi="仿宋_GB2312" w:cstheme="minorBidi"/>
          <w:color w:val="auto"/>
          <w:kern w:val="2"/>
          <w:sz w:val="28"/>
          <w:szCs w:val="28"/>
        </w:rPr>
        <w:t>80%</w:t>
      </w:r>
      <w:r>
        <w:rPr>
          <w:rFonts w:hint="eastAsia" w:hAnsi="仿宋_GB2312" w:cstheme="minorBidi"/>
          <w:color w:val="auto"/>
          <w:kern w:val="2"/>
          <w:sz w:val="28"/>
          <w:szCs w:val="28"/>
        </w:rPr>
        <w:t>）和辅导员评价得分（权重</w:t>
      </w:r>
      <w:r>
        <w:rPr>
          <w:rFonts w:hAnsi="仿宋_GB2312" w:cstheme="minorBidi"/>
          <w:color w:val="auto"/>
          <w:kern w:val="2"/>
          <w:sz w:val="28"/>
          <w:szCs w:val="28"/>
        </w:rPr>
        <w:t>20%</w:t>
      </w:r>
      <w:r>
        <w:rPr>
          <w:rFonts w:hint="eastAsia" w:hAnsi="仿宋_GB2312" w:cstheme="minorBidi"/>
          <w:color w:val="auto"/>
          <w:kern w:val="2"/>
          <w:sz w:val="28"/>
          <w:szCs w:val="28"/>
        </w:rPr>
        <w:t>）两部分组成，计算公式为：</w:t>
      </w:r>
    </w:p>
    <w:p w14:paraId="153DEE9F">
      <w:pPr>
        <w:pStyle w:val="10"/>
        <w:jc w:val="center"/>
        <w:rPr>
          <w:rFonts w:hAnsi="仿宋_GB2312" w:cstheme="minorBidi"/>
          <w:color w:val="auto"/>
          <w:kern w:val="2"/>
          <w:sz w:val="28"/>
          <w:szCs w:val="28"/>
        </w:rPr>
      </w:pPr>
      <w:r>
        <w:rPr>
          <w:rFonts w:hint="eastAsia" w:hAnsi="仿宋_GB2312" w:cstheme="minorBidi"/>
          <w:color w:val="auto"/>
          <w:kern w:val="2"/>
          <w:sz w:val="28"/>
          <w:szCs w:val="28"/>
        </w:rPr>
        <w:t>德育评价成绩</w:t>
      </w:r>
      <w:r>
        <w:rPr>
          <w:rFonts w:hAnsi="仿宋_GB2312" w:cstheme="minorBidi"/>
          <w:color w:val="auto"/>
          <w:kern w:val="2"/>
          <w:sz w:val="28"/>
          <w:szCs w:val="28"/>
        </w:rPr>
        <w:t>=班级同学互评平均分×80%+辅导员评价得分×20%</w:t>
      </w:r>
    </w:p>
    <w:p w14:paraId="29AE01DC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</w:t>
      </w:r>
      <w:r>
        <w:rPr>
          <w:rFonts w:hint="eastAsia" w:ascii="仿宋_GB2312" w:hAnsi="仿宋_GB2312" w:eastAsia="仿宋_GB2312"/>
          <w:sz w:val="28"/>
          <w:szCs w:val="28"/>
        </w:rPr>
        <w:t>学生德育评价成绩不低于</w:t>
      </w:r>
      <w:r>
        <w:rPr>
          <w:rFonts w:ascii="仿宋_GB2312" w:hAnsi="仿宋_GB2312" w:eastAsia="仿宋_GB2312"/>
          <w:sz w:val="28"/>
          <w:szCs w:val="28"/>
        </w:rPr>
        <w:t>80</w:t>
      </w:r>
      <w:r>
        <w:rPr>
          <w:rFonts w:hint="eastAsia" w:ascii="仿宋_GB2312" w:hAnsi="仿宋_GB2312" w:eastAsia="仿宋_GB2312"/>
          <w:sz w:val="28"/>
          <w:szCs w:val="28"/>
        </w:rPr>
        <w:t>分且完成班级同学互评的，方可参加评价学年评奖评优。</w:t>
      </w:r>
    </w:p>
    <w:p w14:paraId="34FDB5C0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（二）智育评价</w:t>
      </w:r>
    </w:p>
    <w:p w14:paraId="67F44925">
      <w:pPr>
        <w:kinsoku w:val="0"/>
        <w:overflowPunct w:val="0"/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1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智育成绩参评课程范围为参评学年所修的全部课程（体育必修课成绩除外，若同时辅修第二专业，则二专的课程除外）。</w:t>
      </w:r>
    </w:p>
    <w:p w14:paraId="5F9A3ADF">
      <w:pPr>
        <w:kinsoku w:val="0"/>
        <w:overflowPunct w:val="0"/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2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智育成绩计算公式为：课程平均分</w:t>
      </w:r>
      <m:oMath>
        <m:r>
          <m:rPr>
            <m:sty m:val="p"/>
          </m:rPr>
          <w:rPr>
            <w:rFonts w:ascii="Cambria Math" w:hAnsi="Cambria Math" w:eastAsia="仿宋_GB2312"/>
            <w:sz w:val="28"/>
            <w:szCs w:val="28"/>
          </w:rPr>
          <m:t>=</m:t>
        </m:r>
        <m:f>
          <m:fPr>
            <m:ctrlPr>
              <w:rPr>
                <w:rFonts w:ascii="Cambria Math" w:hAnsi="Cambria Math" w:eastAsia="仿宋_GB2312"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naryPr>
              <m:sub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sub>
              <m:sup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sup>
              <m:e>
                <m:r>
                  <m:rPr>
                    <m:sty m:val="p"/>
                  </m:rPr>
                  <w:rPr>
                    <w:rFonts w:hint="eastAsia" w:ascii="Cambria Math" w:hAnsi="Cambria Math" w:eastAsia="仿宋_GB2312"/>
                    <w:sz w:val="28"/>
                    <w:szCs w:val="28"/>
                  </w:rPr>
                  <m:t>（课程成绩</m:t>
                </m:r>
                <m:r>
                  <m:rPr>
                    <m:sty m:val="p"/>
                  </m:rPr>
                  <w:rPr>
                    <w:rFonts w:ascii="Cambria Math" w:hAnsi="Cambria Math" w:eastAsia="仿宋_GB2312"/>
                    <w:sz w:val="28"/>
                    <w:szCs w:val="28"/>
                  </w:rPr>
                  <m:t>×</m:t>
                </m:r>
                <m:r>
                  <m:rPr>
                    <m:sty m:val="p"/>
                  </m:rPr>
                  <w:rPr>
                    <w:rFonts w:hint="eastAsia" w:ascii="Cambria Math" w:hAnsi="Cambria Math" w:eastAsia="仿宋_GB2312"/>
                    <w:sz w:val="28"/>
                    <w:szCs w:val="28"/>
                  </w:rPr>
                  <m:t>课程学分）</m:t>
                </m:r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e>
            </m:nary>
            <m:ctrlPr>
              <w:rPr>
                <w:rFonts w:ascii="Cambria Math" w:hAnsi="Cambria Math" w:eastAsia="仿宋_GB2312"/>
                <w:sz w:val="28"/>
                <w:szCs w:val="28"/>
              </w:rPr>
            </m:ctrlPr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naryPr>
              <m:sub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sub>
              <m:sup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sup>
              <m:e>
                <m:r>
                  <m:rPr>
                    <m:sty m:val="p"/>
                  </m:rPr>
                  <w:rPr>
                    <w:rFonts w:hint="eastAsia" w:ascii="Cambria Math" w:hAnsi="Cambria Math" w:eastAsia="仿宋_GB2312"/>
                    <w:sz w:val="28"/>
                    <w:szCs w:val="28"/>
                  </w:rPr>
                  <m:t>（课程学分）</m:t>
                </m:r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e>
            </m:nary>
            <m:ctrlPr>
              <w:rPr>
                <w:rFonts w:ascii="Cambria Math" w:hAnsi="Cambria Math" w:eastAsia="仿宋_GB2312"/>
                <w:sz w:val="28"/>
                <w:szCs w:val="28"/>
              </w:rPr>
            </m:ctrlPr>
          </m:den>
        </m:f>
      </m:oMath>
      <w:r>
        <w:rPr>
          <w:rFonts w:hint="eastAsia" w:ascii="仿宋_GB2312" w:hAnsi="仿宋_GB2312" w:eastAsia="仿宋_GB2312"/>
          <w:sz w:val="28"/>
          <w:szCs w:val="28"/>
        </w:rPr>
        <w:t>，参评学年大部分课程应为专业培养计划规定课程，两级制、五级制成绩参考文件《西南交通大学本科成绩管理办法》换算为百分制成绩计算。所有课程成绩只取正考分数，经教务处登记备案的缓考按缓考实际成绩计算（补考成绩不纳入计算）。</w:t>
      </w:r>
    </w:p>
    <w:p w14:paraId="2A16FFC4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（三）体育评价</w:t>
      </w:r>
    </w:p>
    <w:p w14:paraId="26653E5E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1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体育评价成绩为学生评价学年体育课程（必修课）正考成绩的算术平均分。重修成绩不纳入学年综合素质评价成绩。</w:t>
      </w:r>
    </w:p>
    <w:p w14:paraId="0BE12296">
      <w:pPr>
        <w:spacing w:line="360" w:lineRule="auto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/>
          <w:sz w:val="28"/>
          <w:szCs w:val="28"/>
        </w:rPr>
        <w:t>学生因已经提前修完评价学年体育课程（必修课），评价学年无体育课程（必修课）正考成绩的，体育评价成绩按在校期间体育评价成绩的平均成绩计算。在评价学年，学生因其他原因无体育课程（必修课）正考成绩的，体育评价成绩计0分。</w:t>
      </w:r>
    </w:p>
    <w:p w14:paraId="1798DAC5">
      <w:pPr>
        <w:spacing w:line="360" w:lineRule="auto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/>
          <w:sz w:val="28"/>
          <w:szCs w:val="28"/>
        </w:rPr>
        <w:t>.因应征入伍等原因申请且通过体育课程免修的学生，体育评价成绩计90分。</w:t>
      </w:r>
    </w:p>
    <w:p w14:paraId="462F5BF2">
      <w:pPr>
        <w:spacing w:line="360" w:lineRule="auto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/>
          <w:sz w:val="28"/>
          <w:szCs w:val="28"/>
        </w:rPr>
        <w:t>.学生体育评价成绩达到60分及以上，方可参加评价学年评奖评优。</w:t>
      </w:r>
    </w:p>
    <w:p w14:paraId="2C5E896F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（四）美育评价</w:t>
      </w:r>
    </w:p>
    <w:p w14:paraId="56F001BD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1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美育工作按照《土木工程学院美育工作方案》依托第二课堂具体实施。</w:t>
      </w:r>
    </w:p>
    <w:p w14:paraId="59D13271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</w:t>
      </w:r>
      <w:r>
        <w:rPr>
          <w:rFonts w:hint="eastAsia" w:ascii="仿宋_GB2312" w:hAnsi="仿宋_GB2312" w:eastAsia="仿宋_GB2312"/>
          <w:sz w:val="28"/>
          <w:szCs w:val="28"/>
        </w:rPr>
        <w:t>学生每学年参加艺术实践获得2学时及以上的，计为</w:t>
      </w:r>
      <w:r>
        <w:rPr>
          <w:rFonts w:ascii="仿宋_GB2312" w:hAnsi="仿宋_GB2312" w:eastAsia="仿宋_GB2312"/>
          <w:sz w:val="28"/>
          <w:szCs w:val="28"/>
        </w:rPr>
        <w:t>100</w:t>
      </w:r>
      <w:r>
        <w:rPr>
          <w:rFonts w:hint="eastAsia" w:ascii="仿宋_GB2312" w:hAnsi="仿宋_GB2312" w:eastAsia="仿宋_GB2312"/>
          <w:sz w:val="28"/>
          <w:szCs w:val="28"/>
        </w:rPr>
        <w:t>分；学生每学年参加艺术实践获得</w:t>
      </w:r>
      <w:r>
        <w:rPr>
          <w:rFonts w:ascii="仿宋_GB2312" w:hAnsi="仿宋_GB2312" w:eastAsia="仿宋_GB2312"/>
          <w:sz w:val="28"/>
          <w:szCs w:val="28"/>
        </w:rPr>
        <w:t>1</w:t>
      </w:r>
      <w:r>
        <w:rPr>
          <w:rFonts w:hint="eastAsia" w:ascii="仿宋_GB2312" w:hAnsi="仿宋_GB2312" w:eastAsia="仿宋_GB2312"/>
          <w:sz w:val="28"/>
          <w:szCs w:val="28"/>
        </w:rPr>
        <w:t>学时的，计为</w:t>
      </w:r>
      <w:r>
        <w:rPr>
          <w:rFonts w:ascii="仿宋_GB2312" w:hAnsi="仿宋_GB2312" w:eastAsia="仿宋_GB2312"/>
          <w:sz w:val="28"/>
          <w:szCs w:val="28"/>
        </w:rPr>
        <w:t>60</w:t>
      </w:r>
      <w:r>
        <w:rPr>
          <w:rFonts w:hint="eastAsia" w:ascii="仿宋_GB2312" w:hAnsi="仿宋_GB2312" w:eastAsia="仿宋_GB2312"/>
          <w:sz w:val="28"/>
          <w:szCs w:val="28"/>
        </w:rPr>
        <w:t>分；学生每学年未参加艺术实践的，计为</w:t>
      </w:r>
      <w:r>
        <w:rPr>
          <w:rFonts w:ascii="仿宋_GB2312" w:hAnsi="仿宋_GB2312" w:eastAsia="仿宋_GB2312"/>
          <w:sz w:val="28"/>
          <w:szCs w:val="28"/>
        </w:rPr>
        <w:t>0</w:t>
      </w:r>
      <w:r>
        <w:rPr>
          <w:rFonts w:hint="eastAsia" w:ascii="仿宋_GB2312" w:hAnsi="仿宋_GB2312" w:eastAsia="仿宋_GB2312"/>
          <w:sz w:val="28"/>
          <w:szCs w:val="28"/>
        </w:rPr>
        <w:t>分。学生美育评价成绩达到</w:t>
      </w:r>
      <w:r>
        <w:rPr>
          <w:rFonts w:ascii="仿宋_GB2312" w:hAnsi="仿宋_GB2312" w:eastAsia="仿宋_GB2312"/>
          <w:sz w:val="28"/>
          <w:szCs w:val="28"/>
        </w:rPr>
        <w:t>60</w:t>
      </w:r>
      <w:r>
        <w:rPr>
          <w:rFonts w:hint="eastAsia" w:ascii="仿宋_GB2312" w:hAnsi="仿宋_GB2312" w:eastAsia="仿宋_GB2312"/>
          <w:sz w:val="28"/>
          <w:szCs w:val="28"/>
        </w:rPr>
        <w:t>分及以上的，方可参加评价学年评奖评优。</w:t>
      </w:r>
    </w:p>
    <w:p w14:paraId="05B56C0F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（五）劳育评价</w:t>
      </w:r>
      <w:bookmarkStart w:id="0" w:name="_GoBack"/>
      <w:bookmarkEnd w:id="0"/>
    </w:p>
    <w:p w14:paraId="3690AF98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1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劳育工作按照《土木工程学院劳育工作方案》依托第二课堂具体实施。</w:t>
      </w:r>
    </w:p>
    <w:p w14:paraId="2A6A863D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</w:t>
      </w:r>
      <w:r>
        <w:rPr>
          <w:rFonts w:hint="eastAsia" w:ascii="仿宋_GB2312" w:hAnsi="仿宋_GB2312" w:eastAsia="仿宋_GB2312"/>
          <w:sz w:val="28"/>
          <w:szCs w:val="28"/>
        </w:rPr>
        <w:t>学生每学年参加劳动实践获得</w:t>
      </w:r>
      <w:r>
        <w:rPr>
          <w:rFonts w:ascii="仿宋_GB2312" w:hAnsi="仿宋_GB2312" w:eastAsia="仿宋_GB2312"/>
          <w:sz w:val="28"/>
          <w:szCs w:val="28"/>
        </w:rPr>
        <w:t>3</w:t>
      </w:r>
      <w:r>
        <w:rPr>
          <w:rFonts w:hint="eastAsia" w:ascii="仿宋_GB2312" w:hAnsi="仿宋_GB2312" w:eastAsia="仿宋_GB2312"/>
          <w:sz w:val="28"/>
          <w:szCs w:val="28"/>
        </w:rPr>
        <w:t>学时及以上的，计为</w:t>
      </w:r>
      <w:r>
        <w:rPr>
          <w:rFonts w:ascii="仿宋_GB2312" w:hAnsi="仿宋_GB2312" w:eastAsia="仿宋_GB2312"/>
          <w:sz w:val="28"/>
          <w:szCs w:val="28"/>
        </w:rPr>
        <w:t>100</w:t>
      </w:r>
      <w:r>
        <w:rPr>
          <w:rFonts w:hint="eastAsia" w:ascii="仿宋_GB2312" w:hAnsi="仿宋_GB2312" w:eastAsia="仿宋_GB2312"/>
          <w:sz w:val="28"/>
          <w:szCs w:val="28"/>
        </w:rPr>
        <w:t>分；学生每学年参加劳动实践获得</w:t>
      </w:r>
      <w:r>
        <w:rPr>
          <w:rFonts w:ascii="仿宋_GB2312" w:hAnsi="仿宋_GB2312" w:eastAsia="仿宋_GB2312"/>
          <w:sz w:val="28"/>
          <w:szCs w:val="28"/>
        </w:rPr>
        <w:t>2</w:t>
      </w:r>
      <w:r>
        <w:rPr>
          <w:rFonts w:hint="eastAsia" w:ascii="仿宋_GB2312" w:hAnsi="仿宋_GB2312" w:eastAsia="仿宋_GB2312"/>
          <w:sz w:val="28"/>
          <w:szCs w:val="28"/>
        </w:rPr>
        <w:t>学时的，计为</w:t>
      </w:r>
      <w:r>
        <w:rPr>
          <w:rFonts w:ascii="仿宋_GB2312" w:hAnsi="仿宋_GB2312" w:eastAsia="仿宋_GB2312"/>
          <w:sz w:val="28"/>
          <w:szCs w:val="28"/>
        </w:rPr>
        <w:t>80</w:t>
      </w:r>
      <w:r>
        <w:rPr>
          <w:rFonts w:hint="eastAsia" w:ascii="仿宋_GB2312" w:hAnsi="仿宋_GB2312" w:eastAsia="仿宋_GB2312"/>
          <w:sz w:val="28"/>
          <w:szCs w:val="28"/>
        </w:rPr>
        <w:t>分；学生每学年参加劳动实践获得</w:t>
      </w:r>
      <w:r>
        <w:rPr>
          <w:rFonts w:ascii="仿宋_GB2312" w:hAnsi="仿宋_GB2312" w:eastAsia="仿宋_GB2312"/>
          <w:sz w:val="28"/>
          <w:szCs w:val="28"/>
        </w:rPr>
        <w:t>1</w:t>
      </w:r>
      <w:r>
        <w:rPr>
          <w:rFonts w:hint="eastAsia" w:ascii="仿宋_GB2312" w:hAnsi="仿宋_GB2312" w:eastAsia="仿宋_GB2312"/>
          <w:sz w:val="28"/>
          <w:szCs w:val="28"/>
        </w:rPr>
        <w:t>学时的，计为</w:t>
      </w:r>
      <w:r>
        <w:rPr>
          <w:rFonts w:ascii="仿宋_GB2312" w:hAnsi="仿宋_GB2312" w:eastAsia="仿宋_GB2312"/>
          <w:sz w:val="28"/>
          <w:szCs w:val="28"/>
        </w:rPr>
        <w:t>60</w:t>
      </w:r>
      <w:r>
        <w:rPr>
          <w:rFonts w:hint="eastAsia" w:ascii="仿宋_GB2312" w:hAnsi="仿宋_GB2312" w:eastAsia="仿宋_GB2312"/>
          <w:sz w:val="28"/>
          <w:szCs w:val="28"/>
        </w:rPr>
        <w:t>分；学生每学年未参加劳动实践的，视为不合格，计为</w:t>
      </w:r>
      <w:r>
        <w:rPr>
          <w:rFonts w:ascii="仿宋_GB2312" w:hAnsi="仿宋_GB2312" w:eastAsia="仿宋_GB2312"/>
          <w:sz w:val="28"/>
          <w:szCs w:val="28"/>
        </w:rPr>
        <w:t>0</w:t>
      </w:r>
      <w:r>
        <w:rPr>
          <w:rFonts w:hint="eastAsia" w:ascii="仿宋_GB2312" w:hAnsi="仿宋_GB2312" w:eastAsia="仿宋_GB2312"/>
          <w:sz w:val="28"/>
          <w:szCs w:val="28"/>
        </w:rPr>
        <w:t>分。学生劳育评价成绩达到</w:t>
      </w:r>
      <w:r>
        <w:rPr>
          <w:rFonts w:ascii="仿宋_GB2312" w:hAnsi="仿宋_GB2312" w:eastAsia="仿宋_GB2312"/>
          <w:sz w:val="28"/>
          <w:szCs w:val="28"/>
        </w:rPr>
        <w:t>60</w:t>
      </w:r>
      <w:r>
        <w:rPr>
          <w:rFonts w:hint="eastAsia" w:ascii="仿宋_GB2312" w:hAnsi="仿宋_GB2312" w:eastAsia="仿宋_GB2312"/>
          <w:sz w:val="28"/>
          <w:szCs w:val="28"/>
        </w:rPr>
        <w:t>分及以上的，方可参加评价学年评奖评优。</w:t>
      </w:r>
    </w:p>
    <w:p w14:paraId="6AD96598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（六）发展性评价</w:t>
      </w:r>
    </w:p>
    <w:p w14:paraId="09D72612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发展性评价依据《土木工程学院本科生综合素质发展性评价方案》具体实施，发展性评价成绩最多可累加至</w:t>
      </w:r>
      <w:r>
        <w:rPr>
          <w:rFonts w:ascii="仿宋_GB2312" w:hAnsi="仿宋_GB2312" w:eastAsia="仿宋_GB2312"/>
          <w:sz w:val="28"/>
          <w:szCs w:val="28"/>
        </w:rPr>
        <w:t>3</w:t>
      </w:r>
      <w:r>
        <w:rPr>
          <w:rFonts w:hint="eastAsia" w:ascii="仿宋_GB2312" w:hAnsi="仿宋_GB2312" w:eastAsia="仿宋_GB2312"/>
          <w:sz w:val="28"/>
          <w:szCs w:val="28"/>
        </w:rPr>
        <w:t>分，超过上限不予认定。</w:t>
      </w:r>
    </w:p>
    <w:p w14:paraId="5056B25A">
      <w:pPr>
        <w:spacing w:line="360" w:lineRule="auto"/>
        <w:ind w:firstLine="562" w:firstLineChars="20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四、组织机构</w:t>
      </w:r>
    </w:p>
    <w:p w14:paraId="11B1CF52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综合素质评价在学院奖励评审委员会的监督与指导下开展，由年级小组组织开展本年级综合素质评价，由各班级测评小组具体实施。</w:t>
      </w:r>
    </w:p>
    <w:p w14:paraId="642625B0">
      <w:pPr>
        <w:spacing w:line="360" w:lineRule="auto"/>
        <w:ind w:firstLine="562" w:firstLineChars="20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五、附则</w:t>
      </w:r>
    </w:p>
    <w:p w14:paraId="5B06BBDD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1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学院将严格审查学生综合素质评价相关材料，并将智育评价成绩和发展性评价分数进行公示，在公示有效期内接受全院学生的意见反映。凡有弄虚作假者，一经查实，立即取消其当学年评奖评优资格，并记录在案。</w:t>
      </w:r>
    </w:p>
    <w:p w14:paraId="1CF8B5F4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2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土木工程学院本科生综合素质评价依据本细则及当年学校、学院通知执行。</w:t>
      </w:r>
    </w:p>
    <w:p w14:paraId="4C3FB6C0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</w:t>
      </w:r>
      <w:r>
        <w:rPr>
          <w:rFonts w:hint="eastAsia" w:ascii="仿宋_GB2312" w:hAnsi="仿宋_GB2312" w:eastAsia="仿宋_GB2312"/>
          <w:sz w:val="28"/>
          <w:szCs w:val="28"/>
        </w:rPr>
        <w:t>本细则自二</w:t>
      </w:r>
      <w:r>
        <w:rPr>
          <w:rFonts w:hint="eastAsia" w:ascii="微软雅黑" w:hAnsi="微软雅黑" w:eastAsia="微软雅黑" w:cs="微软雅黑"/>
          <w:sz w:val="28"/>
          <w:szCs w:val="28"/>
        </w:rPr>
        <w:t>〇</w:t>
      </w:r>
      <w:r>
        <w:rPr>
          <w:rFonts w:hint="eastAsia" w:ascii="仿宋_GB2312" w:hAnsi="仿宋_GB2312" w:eastAsia="仿宋_GB2312" w:cs="仿宋_GB2312"/>
          <w:sz w:val="28"/>
          <w:szCs w:val="28"/>
        </w:rPr>
        <w:t>二二年九月起施行，原《土木工程学院综合素质测评实施细则》同时废止。</w:t>
      </w:r>
    </w:p>
    <w:p w14:paraId="0ABA4D3B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</w:t>
      </w:r>
      <w:r>
        <w:rPr>
          <w:rFonts w:hint="eastAsia" w:ascii="仿宋_GB2312" w:hAnsi="仿宋_GB2312" w:eastAsia="仿宋_GB2312"/>
          <w:sz w:val="28"/>
          <w:szCs w:val="28"/>
        </w:rPr>
        <w:t>本细则由西南交通大学土木工程学院学生奖励评审委员会负责解释。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5ZDEyODhiZmY2MDM2M2Q5ZDhiMGEyYzMzZTg0M2MifQ=="/>
  </w:docVars>
  <w:rsids>
    <w:rsidRoot w:val="0008618A"/>
    <w:rsid w:val="0007753F"/>
    <w:rsid w:val="0008618A"/>
    <w:rsid w:val="000A6A00"/>
    <w:rsid w:val="000E4B7D"/>
    <w:rsid w:val="001532E8"/>
    <w:rsid w:val="0018350F"/>
    <w:rsid w:val="001F1D6C"/>
    <w:rsid w:val="00205399"/>
    <w:rsid w:val="00251CE2"/>
    <w:rsid w:val="00294FFF"/>
    <w:rsid w:val="002E2962"/>
    <w:rsid w:val="005056B4"/>
    <w:rsid w:val="0058669E"/>
    <w:rsid w:val="00655626"/>
    <w:rsid w:val="006E50EA"/>
    <w:rsid w:val="006F56CD"/>
    <w:rsid w:val="006F5AAD"/>
    <w:rsid w:val="007439E7"/>
    <w:rsid w:val="0075675B"/>
    <w:rsid w:val="00792058"/>
    <w:rsid w:val="00837878"/>
    <w:rsid w:val="00845C57"/>
    <w:rsid w:val="008505A3"/>
    <w:rsid w:val="008A0890"/>
    <w:rsid w:val="008A1027"/>
    <w:rsid w:val="008A31A9"/>
    <w:rsid w:val="00903CC6"/>
    <w:rsid w:val="00904955"/>
    <w:rsid w:val="00A13AC6"/>
    <w:rsid w:val="00A56F3E"/>
    <w:rsid w:val="00B145D2"/>
    <w:rsid w:val="00B36D4D"/>
    <w:rsid w:val="00BE55D4"/>
    <w:rsid w:val="00C27402"/>
    <w:rsid w:val="00CF00C0"/>
    <w:rsid w:val="00DA6E50"/>
    <w:rsid w:val="00DF2422"/>
    <w:rsid w:val="00E70700"/>
    <w:rsid w:val="00E77C3C"/>
    <w:rsid w:val="00E87F18"/>
    <w:rsid w:val="00EA72A2"/>
    <w:rsid w:val="00F1162A"/>
    <w:rsid w:val="00F70E74"/>
    <w:rsid w:val="00F872D0"/>
    <w:rsid w:val="00FA4442"/>
    <w:rsid w:val="00FA79B1"/>
    <w:rsid w:val="00FC59BF"/>
    <w:rsid w:val="23906919"/>
    <w:rsid w:val="24834595"/>
    <w:rsid w:val="35342E96"/>
    <w:rsid w:val="3CD964B8"/>
    <w:rsid w:val="7A1A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cs="仿宋_GB2312" w:hAnsiTheme="minorHAnsi"/>
      <w:color w:val="000000"/>
      <w:kern w:val="0"/>
      <w:sz w:val="24"/>
      <w:szCs w:val="24"/>
      <w:lang w:val="en-US" w:eastAsia="zh-CN" w:bidi="ar-SA"/>
    </w:rPr>
  </w:style>
  <w:style w:type="character" w:styleId="11">
    <w:name w:val="Placeholder Text"/>
    <w:basedOn w:val="6"/>
    <w:semiHidden/>
    <w:qFormat/>
    <w:uiPriority w:val="99"/>
    <w:rPr>
      <w:color w:val="808080"/>
    </w:rPr>
  </w:style>
  <w:style w:type="paragraph" w:customStyle="1" w:styleId="12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仿宋" w:hAnsi="Times New Roman" w:eastAsia="仿宋" w:cs="仿宋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2226</Words>
  <Characters>2290</Characters>
  <Lines>15</Lines>
  <Paragraphs>4</Paragraphs>
  <TotalTime>0</TotalTime>
  <ScaleCrop>false</ScaleCrop>
  <LinksUpToDate>false</LinksUpToDate>
  <CharactersWithSpaces>2294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2022-01-07T07:55:00Z</dcterms:created>
  <dc:creator>527976560@qq.com</dc:creator>
  <cp:lastModifiedBy>Hou Yiping</cp:lastModifiedBy>
  <cp:lastPrinted>2022-03-21T02:07:00Z</cp:lastPrinted>
  <dcterms:modified xsi:type="dcterms:W3CDTF">2026-09-04T02:37:12Z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FD4A097BE9304C509F48348398845346</vt:lpwstr>
  </property>
</Properties>
</file>