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528" w:tblpY="1576"/>
        <w:tblW w:w="9694" w:type="dxa"/>
        <w:tblLayout w:type="fixed"/>
        <w:tblLook w:val="04A0" w:firstRow="1" w:lastRow="0" w:firstColumn="1" w:lastColumn="0" w:noHBand="0" w:noVBand="1"/>
      </w:tblPr>
      <w:tblGrid>
        <w:gridCol w:w="1582"/>
        <w:gridCol w:w="2327"/>
        <w:gridCol w:w="1834"/>
        <w:gridCol w:w="3951"/>
      </w:tblGrid>
      <w:tr w:rsidR="000F33B2" w:rsidRPr="003F7766" w14:paraId="01782470" w14:textId="77777777" w:rsidTr="000F33B2">
        <w:trPr>
          <w:trHeight w:val="685"/>
        </w:trPr>
        <w:tc>
          <w:tcPr>
            <w:tcW w:w="1582" w:type="dxa"/>
            <w:tcBorders>
              <w:top w:val="single" w:sz="4" w:space="0" w:color="auto"/>
              <w:left w:val="single" w:sz="4" w:space="0" w:color="auto"/>
              <w:bottom w:val="single" w:sz="4" w:space="0" w:color="auto"/>
              <w:right w:val="single" w:sz="4" w:space="0" w:color="auto"/>
            </w:tcBorders>
            <w:noWrap/>
            <w:vAlign w:val="center"/>
            <w:hideMark/>
          </w:tcPr>
          <w:p w14:paraId="1E742F54" w14:textId="77777777" w:rsidR="000F33B2" w:rsidRPr="003F7766" w:rsidRDefault="000F33B2" w:rsidP="000F33B2">
            <w:pPr>
              <w:widowControl/>
              <w:jc w:val="left"/>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答辩人：</w:t>
            </w:r>
          </w:p>
        </w:tc>
        <w:tc>
          <w:tcPr>
            <w:tcW w:w="2327" w:type="dxa"/>
            <w:tcBorders>
              <w:top w:val="single" w:sz="4" w:space="0" w:color="auto"/>
              <w:left w:val="nil"/>
              <w:bottom w:val="single" w:sz="4" w:space="0" w:color="auto"/>
              <w:right w:val="single" w:sz="4" w:space="0" w:color="auto"/>
            </w:tcBorders>
            <w:noWrap/>
            <w:vAlign w:val="center"/>
            <w:hideMark/>
          </w:tcPr>
          <w:p w14:paraId="6A4865C1" w14:textId="706915CE" w:rsidR="000F33B2" w:rsidRPr="0004344F" w:rsidRDefault="00E61C20" w:rsidP="000F33B2">
            <w:pPr>
              <w:widowControl/>
              <w:jc w:val="left"/>
              <w:rPr>
                <w:rFonts w:ascii="宋体" w:eastAsia="宋体" w:hAnsi="宋体" w:cs="宋体" w:hint="eastAsia"/>
                <w:b/>
                <w:color w:val="000000"/>
                <w:kern w:val="0"/>
                <w:sz w:val="24"/>
                <w:szCs w:val="24"/>
              </w:rPr>
            </w:pPr>
            <w:r>
              <w:rPr>
                <w:rFonts w:ascii="宋体" w:eastAsia="宋体" w:hAnsi="宋体" w:cs="宋体" w:hint="eastAsia"/>
                <w:b/>
                <w:color w:val="000000"/>
                <w:kern w:val="0"/>
                <w:sz w:val="24"/>
                <w:szCs w:val="24"/>
              </w:rPr>
              <w:t>石峰</w:t>
            </w:r>
          </w:p>
        </w:tc>
        <w:tc>
          <w:tcPr>
            <w:tcW w:w="1834" w:type="dxa"/>
            <w:tcBorders>
              <w:top w:val="single" w:sz="4" w:space="0" w:color="auto"/>
              <w:left w:val="nil"/>
              <w:bottom w:val="single" w:sz="4" w:space="0" w:color="auto"/>
              <w:right w:val="single" w:sz="4" w:space="0" w:color="auto"/>
            </w:tcBorders>
            <w:noWrap/>
            <w:vAlign w:val="center"/>
            <w:hideMark/>
          </w:tcPr>
          <w:p w14:paraId="76749ED0" w14:textId="77777777" w:rsidR="000F33B2" w:rsidRPr="003F7766" w:rsidRDefault="000F33B2" w:rsidP="000F33B2">
            <w:pPr>
              <w:widowControl/>
              <w:jc w:val="left"/>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导</w:t>
            </w:r>
            <w:r>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师：</w:t>
            </w:r>
          </w:p>
        </w:tc>
        <w:tc>
          <w:tcPr>
            <w:tcW w:w="3951" w:type="dxa"/>
            <w:tcBorders>
              <w:top w:val="single" w:sz="4" w:space="0" w:color="auto"/>
              <w:left w:val="nil"/>
              <w:bottom w:val="single" w:sz="4" w:space="0" w:color="auto"/>
              <w:right w:val="single" w:sz="4" w:space="0" w:color="auto"/>
            </w:tcBorders>
            <w:noWrap/>
            <w:vAlign w:val="center"/>
            <w:hideMark/>
          </w:tcPr>
          <w:p w14:paraId="72FD7B82" w14:textId="05F7E6E9" w:rsidR="000F33B2" w:rsidRPr="0004344F" w:rsidRDefault="00E61C20" w:rsidP="000F33B2">
            <w:pPr>
              <w:widowControl/>
              <w:jc w:val="left"/>
              <w:rPr>
                <w:rFonts w:ascii="宋体" w:eastAsia="宋体" w:hAnsi="宋体" w:cs="宋体" w:hint="eastAsia"/>
                <w:b/>
                <w:bCs/>
                <w:color w:val="000000"/>
                <w:kern w:val="0"/>
                <w:sz w:val="24"/>
                <w:szCs w:val="24"/>
              </w:rPr>
            </w:pPr>
            <w:r>
              <w:rPr>
                <w:rFonts w:ascii="宋体" w:eastAsia="宋体" w:hAnsi="宋体" w:cs="宋体" w:hint="eastAsia"/>
                <w:b/>
                <w:bCs/>
                <w:color w:val="000000"/>
                <w:kern w:val="0"/>
                <w:sz w:val="24"/>
                <w:szCs w:val="24"/>
              </w:rPr>
              <w:t>贾建民</w:t>
            </w:r>
          </w:p>
        </w:tc>
      </w:tr>
      <w:tr w:rsidR="000F33B2" w:rsidRPr="003F7766" w14:paraId="7A8FA6DA" w14:textId="77777777" w:rsidTr="000F33B2">
        <w:trPr>
          <w:trHeight w:val="678"/>
        </w:trPr>
        <w:tc>
          <w:tcPr>
            <w:tcW w:w="1582" w:type="dxa"/>
            <w:tcBorders>
              <w:top w:val="nil"/>
              <w:left w:val="single" w:sz="4" w:space="0" w:color="auto"/>
              <w:bottom w:val="single" w:sz="4" w:space="0" w:color="auto"/>
              <w:right w:val="single" w:sz="4" w:space="0" w:color="auto"/>
            </w:tcBorders>
            <w:noWrap/>
            <w:vAlign w:val="center"/>
            <w:hideMark/>
          </w:tcPr>
          <w:p w14:paraId="791A9A0D" w14:textId="77777777" w:rsidR="000F33B2" w:rsidRPr="003F7766" w:rsidRDefault="000F33B2" w:rsidP="000F33B2">
            <w:pPr>
              <w:widowControl/>
              <w:jc w:val="left"/>
              <w:rPr>
                <w:rFonts w:ascii="宋体" w:eastAsia="宋体" w:hAnsi="宋体" w:cs="宋体" w:hint="eastAsia"/>
                <w:b/>
                <w:color w:val="000000"/>
                <w:kern w:val="0"/>
                <w:sz w:val="28"/>
                <w:szCs w:val="28"/>
              </w:rPr>
            </w:pPr>
            <w:proofErr w:type="gramStart"/>
            <w:r w:rsidRPr="003F7766">
              <w:rPr>
                <w:rFonts w:ascii="宋体" w:eastAsia="宋体" w:hAnsi="宋体" w:cs="宋体" w:hint="eastAsia"/>
                <w:b/>
                <w:color w:val="000000"/>
                <w:kern w:val="0"/>
                <w:sz w:val="28"/>
                <w:szCs w:val="28"/>
              </w:rPr>
              <w:t>专</w:t>
            </w:r>
            <w:r>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业</w:t>
            </w:r>
            <w:proofErr w:type="gramEnd"/>
            <w:r w:rsidRPr="003F7766">
              <w:rPr>
                <w:rFonts w:ascii="宋体" w:eastAsia="宋体" w:hAnsi="宋体" w:cs="宋体" w:hint="eastAsia"/>
                <w:b/>
                <w:color w:val="000000"/>
                <w:kern w:val="0"/>
                <w:sz w:val="28"/>
                <w:szCs w:val="28"/>
              </w:rPr>
              <w:t>：</w:t>
            </w:r>
          </w:p>
        </w:tc>
        <w:tc>
          <w:tcPr>
            <w:tcW w:w="2327" w:type="dxa"/>
            <w:tcBorders>
              <w:top w:val="nil"/>
              <w:left w:val="nil"/>
              <w:bottom w:val="single" w:sz="4" w:space="0" w:color="auto"/>
              <w:right w:val="single" w:sz="4" w:space="0" w:color="auto"/>
            </w:tcBorders>
            <w:noWrap/>
            <w:vAlign w:val="center"/>
            <w:hideMark/>
          </w:tcPr>
          <w:p w14:paraId="0C94DBDD" w14:textId="3D30BC88" w:rsidR="000F33B2" w:rsidRPr="0004344F" w:rsidRDefault="0004344F" w:rsidP="000F33B2">
            <w:pPr>
              <w:widowControl/>
              <w:jc w:val="left"/>
              <w:rPr>
                <w:rFonts w:ascii="宋体" w:eastAsia="宋体" w:hAnsi="宋体" w:cs="宋体" w:hint="eastAsia"/>
                <w:b/>
                <w:color w:val="000000"/>
                <w:kern w:val="0"/>
                <w:sz w:val="24"/>
                <w:szCs w:val="24"/>
              </w:rPr>
            </w:pPr>
            <w:r w:rsidRPr="0004344F">
              <w:rPr>
                <w:rFonts w:ascii="宋体" w:eastAsia="宋体" w:hAnsi="宋体" w:cs="宋体" w:hint="eastAsia"/>
                <w:b/>
                <w:color w:val="000000"/>
                <w:kern w:val="0"/>
                <w:sz w:val="24"/>
                <w:szCs w:val="24"/>
              </w:rPr>
              <w:t>管理科学与工程</w:t>
            </w:r>
            <w:r w:rsidR="000F33B2" w:rsidRPr="0004344F">
              <w:rPr>
                <w:rFonts w:ascii="宋体" w:eastAsia="宋体" w:hAnsi="宋体" w:cs="宋体" w:hint="eastAsia"/>
                <w:b/>
                <w:color w:val="000000"/>
                <w:kern w:val="0"/>
                <w:sz w:val="24"/>
                <w:szCs w:val="24"/>
              </w:rPr>
              <w:t xml:space="preserve">　</w:t>
            </w:r>
          </w:p>
        </w:tc>
        <w:tc>
          <w:tcPr>
            <w:tcW w:w="1834" w:type="dxa"/>
            <w:tcBorders>
              <w:top w:val="nil"/>
              <w:left w:val="nil"/>
              <w:bottom w:val="single" w:sz="4" w:space="0" w:color="auto"/>
              <w:right w:val="single" w:sz="4" w:space="0" w:color="auto"/>
            </w:tcBorders>
            <w:noWrap/>
            <w:vAlign w:val="center"/>
            <w:hideMark/>
          </w:tcPr>
          <w:p w14:paraId="45C364F5" w14:textId="77777777" w:rsidR="000F33B2" w:rsidRPr="003F7766" w:rsidRDefault="000F33B2" w:rsidP="000F33B2">
            <w:pPr>
              <w:widowControl/>
              <w:jc w:val="left"/>
              <w:rPr>
                <w:rFonts w:ascii="宋体" w:eastAsia="宋体" w:hAnsi="宋体" w:cs="宋体" w:hint="eastAsia"/>
                <w:b/>
                <w:color w:val="000000"/>
                <w:kern w:val="0"/>
                <w:sz w:val="28"/>
                <w:szCs w:val="28"/>
              </w:rPr>
            </w:pPr>
            <w:r w:rsidRPr="00CA3673">
              <w:rPr>
                <w:rFonts w:ascii="宋体" w:eastAsia="宋体" w:hAnsi="宋体" w:cs="宋体" w:hint="eastAsia"/>
                <w:b/>
                <w:color w:val="000000"/>
                <w:kern w:val="0"/>
                <w:sz w:val="28"/>
                <w:szCs w:val="28"/>
              </w:rPr>
              <w:t>研究方</w:t>
            </w:r>
            <w:r w:rsidRPr="003F7766">
              <w:rPr>
                <w:rFonts w:ascii="宋体" w:eastAsia="宋体" w:hAnsi="宋体" w:cs="宋体" w:hint="eastAsia"/>
                <w:b/>
                <w:color w:val="000000"/>
                <w:kern w:val="0"/>
                <w:sz w:val="28"/>
                <w:szCs w:val="28"/>
              </w:rPr>
              <w:t>向：</w:t>
            </w:r>
          </w:p>
        </w:tc>
        <w:tc>
          <w:tcPr>
            <w:tcW w:w="3951" w:type="dxa"/>
            <w:tcBorders>
              <w:top w:val="nil"/>
              <w:left w:val="nil"/>
              <w:bottom w:val="single" w:sz="4" w:space="0" w:color="auto"/>
              <w:right w:val="single" w:sz="4" w:space="0" w:color="auto"/>
            </w:tcBorders>
            <w:noWrap/>
            <w:vAlign w:val="center"/>
            <w:hideMark/>
          </w:tcPr>
          <w:p w14:paraId="7404E344" w14:textId="3B77625B" w:rsidR="000F33B2" w:rsidRPr="0004344F" w:rsidRDefault="00E61C20" w:rsidP="000F33B2">
            <w:pPr>
              <w:widowControl/>
              <w:jc w:val="left"/>
              <w:rPr>
                <w:rFonts w:ascii="宋体" w:eastAsia="宋体" w:hAnsi="宋体" w:cs="宋体" w:hint="eastAsia"/>
                <w:b/>
                <w:bCs/>
                <w:color w:val="000000"/>
                <w:kern w:val="0"/>
                <w:sz w:val="24"/>
                <w:szCs w:val="24"/>
              </w:rPr>
            </w:pPr>
            <w:r w:rsidRPr="00E61C20">
              <w:rPr>
                <w:rFonts w:ascii="宋体" w:eastAsia="宋体" w:hAnsi="宋体" w:cs="宋体" w:hint="eastAsia"/>
                <w:b/>
                <w:bCs/>
                <w:color w:val="000000"/>
                <w:kern w:val="0"/>
                <w:sz w:val="24"/>
                <w:szCs w:val="24"/>
              </w:rPr>
              <w:t>人群流动行为科学与决策理论</w:t>
            </w:r>
          </w:p>
        </w:tc>
      </w:tr>
      <w:tr w:rsidR="000F33B2" w:rsidRPr="003F7766" w14:paraId="7A7DAA20" w14:textId="77777777" w:rsidTr="000F33B2">
        <w:trPr>
          <w:trHeight w:val="678"/>
        </w:trPr>
        <w:tc>
          <w:tcPr>
            <w:tcW w:w="1582" w:type="dxa"/>
            <w:tcBorders>
              <w:top w:val="nil"/>
              <w:left w:val="single" w:sz="4" w:space="0" w:color="auto"/>
              <w:bottom w:val="single" w:sz="4" w:space="0" w:color="auto"/>
              <w:right w:val="single" w:sz="4" w:space="0" w:color="auto"/>
            </w:tcBorders>
            <w:noWrap/>
            <w:vAlign w:val="center"/>
            <w:hideMark/>
          </w:tcPr>
          <w:p w14:paraId="740102D6" w14:textId="77777777" w:rsidR="000F33B2" w:rsidRPr="003F7766" w:rsidRDefault="000F33B2" w:rsidP="000F33B2">
            <w:pPr>
              <w:widowControl/>
              <w:jc w:val="left"/>
              <w:rPr>
                <w:rFonts w:ascii="宋体" w:eastAsia="宋体" w:hAnsi="宋体" w:cs="宋体" w:hint="eastAsia"/>
                <w:b/>
                <w:color w:val="000000"/>
                <w:kern w:val="0"/>
                <w:sz w:val="28"/>
                <w:szCs w:val="28"/>
              </w:rPr>
            </w:pPr>
            <w:r>
              <w:rPr>
                <w:rFonts w:ascii="宋体" w:eastAsia="宋体" w:hAnsi="宋体" w:cs="宋体" w:hint="eastAsia"/>
                <w:b/>
                <w:color w:val="000000"/>
                <w:kern w:val="0"/>
                <w:sz w:val="28"/>
                <w:szCs w:val="28"/>
              </w:rPr>
              <w:t>论文题目：</w:t>
            </w:r>
          </w:p>
        </w:tc>
        <w:tc>
          <w:tcPr>
            <w:tcW w:w="8112" w:type="dxa"/>
            <w:gridSpan w:val="3"/>
            <w:tcBorders>
              <w:top w:val="nil"/>
              <w:left w:val="nil"/>
              <w:bottom w:val="single" w:sz="4" w:space="0" w:color="auto"/>
              <w:right w:val="single" w:sz="4" w:space="0" w:color="auto"/>
            </w:tcBorders>
            <w:noWrap/>
            <w:vAlign w:val="center"/>
            <w:hideMark/>
          </w:tcPr>
          <w:p w14:paraId="65D6BF81" w14:textId="0005192B" w:rsidR="000F33B2" w:rsidRPr="0004344F" w:rsidRDefault="00E61C20" w:rsidP="000F33B2">
            <w:pPr>
              <w:widowControl/>
              <w:jc w:val="left"/>
              <w:rPr>
                <w:rFonts w:ascii="宋体" w:eastAsia="宋体" w:hAnsi="宋体" w:cs="宋体" w:hint="eastAsia"/>
                <w:b/>
                <w:bCs/>
                <w:color w:val="000000"/>
                <w:kern w:val="0"/>
                <w:sz w:val="24"/>
                <w:szCs w:val="24"/>
              </w:rPr>
            </w:pPr>
            <w:r w:rsidRPr="00E61C20">
              <w:rPr>
                <w:rFonts w:ascii="宋体" w:eastAsia="宋体" w:hAnsi="宋体" w:cs="宋体" w:hint="eastAsia"/>
                <w:b/>
                <w:bCs/>
                <w:color w:val="000000"/>
                <w:kern w:val="0"/>
                <w:sz w:val="24"/>
                <w:szCs w:val="24"/>
              </w:rPr>
              <w:t>数据驱动的中国城际人口流动规律及影响机制研究</w:t>
            </w:r>
          </w:p>
        </w:tc>
      </w:tr>
      <w:tr w:rsidR="000F33B2" w:rsidRPr="003F7766" w14:paraId="5DF4AF8E" w14:textId="77777777" w:rsidTr="000F33B2">
        <w:trPr>
          <w:trHeight w:val="704"/>
        </w:trPr>
        <w:tc>
          <w:tcPr>
            <w:tcW w:w="9694" w:type="dxa"/>
            <w:gridSpan w:val="4"/>
            <w:tcBorders>
              <w:top w:val="single" w:sz="4" w:space="0" w:color="auto"/>
              <w:left w:val="single" w:sz="4" w:space="0" w:color="auto"/>
              <w:bottom w:val="single" w:sz="4" w:space="0" w:color="auto"/>
              <w:right w:val="single" w:sz="4" w:space="0" w:color="auto"/>
            </w:tcBorders>
            <w:noWrap/>
            <w:vAlign w:val="center"/>
            <w:hideMark/>
          </w:tcPr>
          <w:p w14:paraId="41F48DE7" w14:textId="77777777" w:rsidR="000F33B2" w:rsidRPr="003F7766" w:rsidRDefault="000F33B2" w:rsidP="000F33B2">
            <w:pPr>
              <w:widowControl/>
              <w:jc w:val="center"/>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摘</w:t>
            </w:r>
            <w:r w:rsidRPr="00CA3673">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要</w:t>
            </w:r>
          </w:p>
        </w:tc>
      </w:tr>
      <w:tr w:rsidR="000F33B2" w:rsidRPr="003F7766" w14:paraId="7AD6AEC4" w14:textId="77777777" w:rsidTr="000F33B2">
        <w:trPr>
          <w:trHeight w:val="704"/>
        </w:trPr>
        <w:tc>
          <w:tcPr>
            <w:tcW w:w="9694" w:type="dxa"/>
            <w:gridSpan w:val="4"/>
            <w:tcBorders>
              <w:top w:val="single" w:sz="4" w:space="0" w:color="auto"/>
              <w:left w:val="single" w:sz="4" w:space="0" w:color="auto"/>
              <w:bottom w:val="single" w:sz="4" w:space="0" w:color="auto"/>
              <w:right w:val="single" w:sz="4" w:space="0" w:color="auto"/>
            </w:tcBorders>
            <w:noWrap/>
            <w:vAlign w:val="center"/>
            <w:hideMark/>
          </w:tcPr>
          <w:p w14:paraId="369EA247" w14:textId="77777777" w:rsidR="00E61C20" w:rsidRPr="00E61C20" w:rsidRDefault="00E61C20" w:rsidP="00E61C20">
            <w:pPr>
              <w:widowControl/>
              <w:ind w:firstLineChars="200" w:firstLine="480"/>
              <w:rPr>
                <w:rFonts w:ascii="宋体" w:eastAsia="宋体" w:hAnsi="宋体" w:cs="宋体" w:hint="eastAsia"/>
                <w:color w:val="000000"/>
                <w:kern w:val="0"/>
                <w:sz w:val="24"/>
                <w:szCs w:val="24"/>
              </w:rPr>
            </w:pPr>
            <w:r w:rsidRPr="00E61C20">
              <w:rPr>
                <w:rFonts w:ascii="宋体" w:eastAsia="宋体" w:hAnsi="宋体" w:cs="宋体" w:hint="eastAsia"/>
                <w:color w:val="000000"/>
                <w:kern w:val="0"/>
                <w:sz w:val="24"/>
                <w:szCs w:val="24"/>
              </w:rPr>
              <w:t>近年来，中国城镇化发展进入以人为本的新阶段，城际人口流动逐渐呈现出复杂性与非均衡性，亟需深入探讨其内在机制与预测方法。在此背景下，本论文以经典的推拉理论为核心，综合运用空间计量、机器学习和深度学习方法，对中国城际人口流动的时空格局、驱动机制与预测方法开展了系统、深入的研究，具体完成了以下几个方面的工作：</w:t>
            </w:r>
          </w:p>
          <w:p w14:paraId="7EC45874" w14:textId="77777777" w:rsidR="00E61C20" w:rsidRPr="00E61C20" w:rsidRDefault="00E61C20" w:rsidP="00E61C20">
            <w:pPr>
              <w:widowControl/>
              <w:ind w:firstLineChars="200" w:firstLine="480"/>
              <w:rPr>
                <w:rFonts w:ascii="宋体" w:eastAsia="宋体" w:hAnsi="宋体" w:cs="宋体" w:hint="eastAsia"/>
                <w:color w:val="000000"/>
                <w:kern w:val="0"/>
                <w:sz w:val="24"/>
                <w:szCs w:val="24"/>
              </w:rPr>
            </w:pPr>
            <w:r w:rsidRPr="00E61C20">
              <w:rPr>
                <w:rFonts w:ascii="宋体" w:eastAsia="宋体" w:hAnsi="宋体" w:cs="宋体" w:hint="eastAsia"/>
                <w:color w:val="000000"/>
                <w:kern w:val="0"/>
                <w:sz w:val="24"/>
                <w:szCs w:val="24"/>
              </w:rPr>
              <w:t>首先，基于2019-2023年高德迁徙数据，本研究系统刻画了城际人口流动的长期空间格局与网络结构特征。通过复杂网络分析明确识别了长三角、京津冀、珠三角与成渝四大核心区域的枢纽地位，并首次系统分析了新冠疫情对城际流动网络结构的影响，发现疫情显著推动了网络的区域化、局域化重构。同时，利用PPML面板模型对城际人口流动进行了年度尺度推拉机制的实证分析，首次明确揭示了周期性均衡流动下的推拉对称性特征。</w:t>
            </w:r>
          </w:p>
          <w:p w14:paraId="4D82521A" w14:textId="77777777" w:rsidR="00E61C20" w:rsidRPr="00E61C20" w:rsidRDefault="00E61C20" w:rsidP="00E61C20">
            <w:pPr>
              <w:widowControl/>
              <w:ind w:firstLineChars="200" w:firstLine="480"/>
              <w:rPr>
                <w:rFonts w:ascii="宋体" w:eastAsia="宋体" w:hAnsi="宋体" w:cs="宋体" w:hint="eastAsia"/>
                <w:color w:val="000000"/>
                <w:kern w:val="0"/>
                <w:sz w:val="24"/>
                <w:szCs w:val="24"/>
              </w:rPr>
            </w:pPr>
            <w:r w:rsidRPr="00E61C20">
              <w:rPr>
                <w:rFonts w:ascii="宋体" w:eastAsia="宋体" w:hAnsi="宋体" w:cs="宋体" w:hint="eastAsia"/>
                <w:color w:val="000000"/>
                <w:kern w:val="0"/>
                <w:sz w:val="24"/>
                <w:szCs w:val="24"/>
              </w:rPr>
              <w:t>其次，以2020年春运期间中国联通智慧足迹数据为基础，本研究首次从推拉双向维度系统分析了城际人口流动的空间异质性特征。研究分别构建了城市作为迁出地（推效应）和迁入地（拉效应）的OLS模型，明确识别了GDP、就业市场、环境质量等关键变量在不同区域的空间差异化作用机制。此外，本研究进一步创新性地采用多尺度地理加权回归（MGWR）模型对人口净流量的空间影响机制进行了深入分析，清晰地揭示了变量作用尺度的显著差异及区域特异性模式。</w:t>
            </w:r>
          </w:p>
          <w:p w14:paraId="1B9481F2" w14:textId="77777777" w:rsidR="00E61C20" w:rsidRPr="00E61C20" w:rsidRDefault="00E61C20" w:rsidP="00E61C20">
            <w:pPr>
              <w:widowControl/>
              <w:ind w:firstLineChars="200" w:firstLine="480"/>
              <w:rPr>
                <w:rFonts w:ascii="宋体" w:eastAsia="宋体" w:hAnsi="宋体" w:cs="宋体" w:hint="eastAsia"/>
                <w:color w:val="000000"/>
                <w:kern w:val="0"/>
                <w:sz w:val="24"/>
                <w:szCs w:val="24"/>
              </w:rPr>
            </w:pPr>
            <w:r w:rsidRPr="00E61C20">
              <w:rPr>
                <w:rFonts w:ascii="宋体" w:eastAsia="宋体" w:hAnsi="宋体" w:cs="宋体" w:hint="eastAsia"/>
                <w:color w:val="000000"/>
                <w:kern w:val="0"/>
                <w:sz w:val="24"/>
                <w:szCs w:val="24"/>
              </w:rPr>
              <w:t>再次，本研究首次构建了基于随机森林的推拉机制非线性与不对称性分析框架。通过特征重要性分析与部分依赖图（PDP），明确发现经济因素在拉力端作用显著强于推力端，而环境质量与人口结构因素则在推力端更突出。同时创新性地提出变量交互作用分析方法，深入揭示了经济与地理因素的强化交互作用机制。此外，本研究还首次提出并系统分析了不同人口群体与城市规模下的异质性响应模式，深化了对推拉理论的复杂性与精细化理解。</w:t>
            </w:r>
          </w:p>
          <w:p w14:paraId="2B49D3DE" w14:textId="77777777" w:rsidR="00E61C20" w:rsidRPr="00E61C20" w:rsidRDefault="00E61C20" w:rsidP="00E61C20">
            <w:pPr>
              <w:widowControl/>
              <w:ind w:firstLineChars="200" w:firstLine="480"/>
              <w:rPr>
                <w:rFonts w:ascii="宋体" w:eastAsia="宋体" w:hAnsi="宋体" w:cs="宋体" w:hint="eastAsia"/>
                <w:color w:val="000000"/>
                <w:kern w:val="0"/>
                <w:sz w:val="24"/>
                <w:szCs w:val="24"/>
              </w:rPr>
            </w:pPr>
            <w:r w:rsidRPr="00E61C20">
              <w:rPr>
                <w:rFonts w:ascii="宋体" w:eastAsia="宋体" w:hAnsi="宋体" w:cs="宋体" w:hint="eastAsia"/>
                <w:color w:val="000000"/>
                <w:kern w:val="0"/>
                <w:sz w:val="24"/>
                <w:szCs w:val="24"/>
              </w:rPr>
              <w:t>最后，创新性地提出了理论驱动的深度推拉生成流预测模型（DPP）。本模型首次将经典推拉理论与Transformer深度学习框架融合，通过内外双层注意力机制明确实现了推力、拉力与中介干预因素的精准区分与动态建模。实证结果表明，DPP模型在预测精度和理论解释性方面显著优于经典模型（OLS、</w:t>
            </w:r>
            <w:proofErr w:type="spellStart"/>
            <w:r w:rsidRPr="00E61C20">
              <w:rPr>
                <w:rFonts w:ascii="宋体" w:eastAsia="宋体" w:hAnsi="宋体" w:cs="宋体" w:hint="eastAsia"/>
                <w:color w:val="000000"/>
                <w:kern w:val="0"/>
                <w:sz w:val="24"/>
                <w:szCs w:val="24"/>
              </w:rPr>
              <w:t>DeepGravity</w:t>
            </w:r>
            <w:proofErr w:type="spellEnd"/>
            <w:r w:rsidRPr="00E61C20">
              <w:rPr>
                <w:rFonts w:ascii="宋体" w:eastAsia="宋体" w:hAnsi="宋体" w:cs="宋体" w:hint="eastAsia"/>
                <w:color w:val="000000"/>
                <w:kern w:val="0"/>
                <w:sz w:val="24"/>
                <w:szCs w:val="24"/>
              </w:rPr>
              <w:t>、GAT），并首次提出了推拉耦合机制分析的视角，明确识别出强化、抑制、非对称和上下文依赖四种典型模式。</w:t>
            </w:r>
          </w:p>
          <w:p w14:paraId="48C9A549" w14:textId="3B493E28" w:rsidR="000F33B2" w:rsidRPr="003F7766" w:rsidRDefault="00E61C20" w:rsidP="00E61C20">
            <w:pPr>
              <w:widowControl/>
              <w:ind w:firstLineChars="200" w:firstLine="480"/>
              <w:rPr>
                <w:rFonts w:ascii="宋体" w:eastAsia="宋体" w:hAnsi="宋体" w:cs="宋体" w:hint="eastAsia"/>
                <w:b/>
                <w:color w:val="000000"/>
                <w:kern w:val="0"/>
                <w:sz w:val="28"/>
                <w:szCs w:val="28"/>
              </w:rPr>
            </w:pPr>
            <w:r w:rsidRPr="00E61C20">
              <w:rPr>
                <w:rFonts w:ascii="宋体" w:eastAsia="宋体" w:hAnsi="宋体" w:cs="宋体" w:hint="eastAsia"/>
                <w:color w:val="000000"/>
                <w:kern w:val="0"/>
                <w:sz w:val="24"/>
                <w:szCs w:val="24"/>
              </w:rPr>
              <w:t>综上所述，本研究在城际人口流动的空间异质性、非线性机制与理论驱动预测方法上取得了系统的理论创新与方法突破，不仅深化了推拉理论在新时代背景下的内涵，也为区域协调发展与城市人口治理提供了重要的实证参考和政策启示</w:t>
            </w:r>
            <w:r w:rsidR="00835D66" w:rsidRPr="00835D66">
              <w:rPr>
                <w:rFonts w:ascii="Times New Roman" w:eastAsia="宋体" w:hAnsi="Times New Roman" w:cs="Times New Roman"/>
                <w:color w:val="000000"/>
                <w:kern w:val="0"/>
                <w:sz w:val="24"/>
                <w:szCs w:val="24"/>
              </w:rPr>
              <w:t>。</w:t>
            </w:r>
          </w:p>
        </w:tc>
      </w:tr>
    </w:tbl>
    <w:p w14:paraId="18FB9FD3" w14:textId="77777777" w:rsidR="00993E9F" w:rsidRPr="00F94709" w:rsidRDefault="00993E9F" w:rsidP="00F95865">
      <w:pPr>
        <w:rPr>
          <w:sz w:val="24"/>
          <w:szCs w:val="24"/>
        </w:rPr>
      </w:pPr>
    </w:p>
    <w:sectPr w:rsidR="00993E9F" w:rsidRPr="00F94709" w:rsidSect="000C30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FA325" w14:textId="77777777" w:rsidR="00FE62DF" w:rsidRDefault="00FE62DF" w:rsidP="00BA5512">
      <w:r>
        <w:separator/>
      </w:r>
    </w:p>
  </w:endnote>
  <w:endnote w:type="continuationSeparator" w:id="0">
    <w:p w14:paraId="3C2CF3EA" w14:textId="77777777" w:rsidR="00FE62DF" w:rsidRDefault="00FE62DF" w:rsidP="00BA5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4EE13" w14:textId="77777777" w:rsidR="00FE62DF" w:rsidRDefault="00FE62DF" w:rsidP="00BA5512">
      <w:r>
        <w:separator/>
      </w:r>
    </w:p>
  </w:footnote>
  <w:footnote w:type="continuationSeparator" w:id="0">
    <w:p w14:paraId="11B0E255" w14:textId="77777777" w:rsidR="00FE62DF" w:rsidRDefault="00FE62DF" w:rsidP="00BA55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766"/>
    <w:rsid w:val="0004344F"/>
    <w:rsid w:val="000561F3"/>
    <w:rsid w:val="00063BE8"/>
    <w:rsid w:val="00072FEC"/>
    <w:rsid w:val="000C309C"/>
    <w:rsid w:val="000F33B2"/>
    <w:rsid w:val="0014433F"/>
    <w:rsid w:val="001A5243"/>
    <w:rsid w:val="001B350E"/>
    <w:rsid w:val="002053C1"/>
    <w:rsid w:val="00223D45"/>
    <w:rsid w:val="00371164"/>
    <w:rsid w:val="003745DA"/>
    <w:rsid w:val="003D17E1"/>
    <w:rsid w:val="003D4482"/>
    <w:rsid w:val="003F7766"/>
    <w:rsid w:val="00445EA3"/>
    <w:rsid w:val="00495B29"/>
    <w:rsid w:val="004B7577"/>
    <w:rsid w:val="00567FA6"/>
    <w:rsid w:val="00671515"/>
    <w:rsid w:val="006940BD"/>
    <w:rsid w:val="00697950"/>
    <w:rsid w:val="006D7BC5"/>
    <w:rsid w:val="007161AA"/>
    <w:rsid w:val="00717274"/>
    <w:rsid w:val="00776AA6"/>
    <w:rsid w:val="00835D66"/>
    <w:rsid w:val="008B6443"/>
    <w:rsid w:val="008E2DD2"/>
    <w:rsid w:val="00953245"/>
    <w:rsid w:val="00993E9F"/>
    <w:rsid w:val="009C43FA"/>
    <w:rsid w:val="009F37AD"/>
    <w:rsid w:val="00A26486"/>
    <w:rsid w:val="00B0176A"/>
    <w:rsid w:val="00BA5512"/>
    <w:rsid w:val="00C9692C"/>
    <w:rsid w:val="00CA3673"/>
    <w:rsid w:val="00CB7F5D"/>
    <w:rsid w:val="00D01C3B"/>
    <w:rsid w:val="00D323FC"/>
    <w:rsid w:val="00DA647F"/>
    <w:rsid w:val="00DE53CD"/>
    <w:rsid w:val="00E4144B"/>
    <w:rsid w:val="00E61C20"/>
    <w:rsid w:val="00F14DF6"/>
    <w:rsid w:val="00F433B6"/>
    <w:rsid w:val="00F94709"/>
    <w:rsid w:val="00F95865"/>
    <w:rsid w:val="00FB74F3"/>
    <w:rsid w:val="00FE62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DE5E9F"/>
  <w15:docId w15:val="{56192DAE-5930-4281-8FCD-2DAC0C22B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309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551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A5512"/>
    <w:rPr>
      <w:sz w:val="18"/>
      <w:szCs w:val="18"/>
    </w:rPr>
  </w:style>
  <w:style w:type="paragraph" w:styleId="a5">
    <w:name w:val="footer"/>
    <w:basedOn w:val="a"/>
    <w:link w:val="a6"/>
    <w:uiPriority w:val="99"/>
    <w:unhideWhenUsed/>
    <w:rsid w:val="00BA5512"/>
    <w:pPr>
      <w:tabs>
        <w:tab w:val="center" w:pos="4153"/>
        <w:tab w:val="right" w:pos="8306"/>
      </w:tabs>
      <w:snapToGrid w:val="0"/>
      <w:jc w:val="left"/>
    </w:pPr>
    <w:rPr>
      <w:sz w:val="18"/>
      <w:szCs w:val="18"/>
    </w:rPr>
  </w:style>
  <w:style w:type="character" w:customStyle="1" w:styleId="a6">
    <w:name w:val="页脚 字符"/>
    <w:basedOn w:val="a0"/>
    <w:link w:val="a5"/>
    <w:uiPriority w:val="99"/>
    <w:rsid w:val="00BA551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574479">
      <w:bodyDiv w:val="1"/>
      <w:marLeft w:val="0"/>
      <w:marRight w:val="0"/>
      <w:marTop w:val="0"/>
      <w:marBottom w:val="0"/>
      <w:divBdr>
        <w:top w:val="none" w:sz="0" w:space="0" w:color="auto"/>
        <w:left w:val="none" w:sz="0" w:space="0" w:color="auto"/>
        <w:bottom w:val="none" w:sz="0" w:space="0" w:color="auto"/>
        <w:right w:val="none" w:sz="0" w:space="0" w:color="auto"/>
      </w:divBdr>
    </w:div>
    <w:div w:id="131892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575</Words>
  <Characters>599</Characters>
  <Application>Microsoft Office Word</Application>
  <DocSecurity>0</DocSecurity>
  <Lines>21</Lines>
  <Paragraphs>16</Paragraphs>
  <ScaleCrop>false</ScaleCrop>
  <Company>Lenovo</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feng shi</cp:lastModifiedBy>
  <cp:revision>2</cp:revision>
  <cp:lastPrinted>2017-01-06T07:14:00Z</cp:lastPrinted>
  <dcterms:created xsi:type="dcterms:W3CDTF">2025-09-03T14:36:00Z</dcterms:created>
  <dcterms:modified xsi:type="dcterms:W3CDTF">2025-09-03T14:36:00Z</dcterms:modified>
</cp:coreProperties>
</file>