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page" w:horzAnchor="margin" w:tblpX="-528" w:tblpY="1576"/>
        <w:tblW w:w="9694" w:type="dxa"/>
        <w:tblLayout w:type="fixed"/>
        <w:tblLook w:val="04A0" w:firstRow="1" w:lastRow="0" w:firstColumn="1" w:lastColumn="0" w:noHBand="0" w:noVBand="1"/>
      </w:tblPr>
      <w:tblGrid>
        <w:gridCol w:w="1582"/>
        <w:gridCol w:w="2327"/>
        <w:gridCol w:w="1834"/>
        <w:gridCol w:w="3951"/>
      </w:tblGrid>
      <w:tr w:rsidR="000F33B2" w:rsidRPr="003F7766" w14:paraId="0E069741" w14:textId="77777777" w:rsidTr="000F33B2">
        <w:trPr>
          <w:trHeight w:val="685"/>
        </w:trPr>
        <w:tc>
          <w:tcPr>
            <w:tcW w:w="1582" w:type="dxa"/>
            <w:tcBorders>
              <w:top w:val="single" w:sz="4" w:space="0" w:color="auto"/>
              <w:left w:val="single" w:sz="4" w:space="0" w:color="auto"/>
              <w:bottom w:val="single" w:sz="4" w:space="0" w:color="auto"/>
              <w:right w:val="single" w:sz="4" w:space="0" w:color="auto"/>
            </w:tcBorders>
            <w:noWrap/>
            <w:vAlign w:val="center"/>
            <w:hideMark/>
          </w:tcPr>
          <w:p w14:paraId="1E23D5A8" w14:textId="77777777" w:rsidR="000F33B2" w:rsidRPr="003F7766" w:rsidRDefault="000F33B2" w:rsidP="000F33B2">
            <w:pPr>
              <w:widowControl/>
              <w:jc w:val="left"/>
              <w:rPr>
                <w:rFonts w:ascii="宋体" w:eastAsia="宋体" w:hAnsi="宋体" w:cs="宋体" w:hint="eastAsia"/>
                <w:b/>
                <w:color w:val="000000"/>
                <w:kern w:val="0"/>
                <w:sz w:val="28"/>
                <w:szCs w:val="28"/>
              </w:rPr>
            </w:pPr>
            <w:r w:rsidRPr="003F7766">
              <w:rPr>
                <w:rFonts w:ascii="宋体" w:eastAsia="宋体" w:hAnsi="宋体" w:cs="宋体" w:hint="eastAsia"/>
                <w:b/>
                <w:color w:val="000000"/>
                <w:kern w:val="0"/>
                <w:sz w:val="28"/>
                <w:szCs w:val="28"/>
              </w:rPr>
              <w:t>答辩人：</w:t>
            </w:r>
          </w:p>
        </w:tc>
        <w:tc>
          <w:tcPr>
            <w:tcW w:w="2327" w:type="dxa"/>
            <w:tcBorders>
              <w:top w:val="single" w:sz="4" w:space="0" w:color="auto"/>
              <w:left w:val="nil"/>
              <w:bottom w:val="single" w:sz="4" w:space="0" w:color="auto"/>
              <w:right w:val="single" w:sz="4" w:space="0" w:color="auto"/>
            </w:tcBorders>
            <w:noWrap/>
            <w:vAlign w:val="center"/>
            <w:hideMark/>
          </w:tcPr>
          <w:p w14:paraId="5FC854C3" w14:textId="1682378C" w:rsidR="000F33B2" w:rsidRPr="003F7766" w:rsidRDefault="00A223F3" w:rsidP="000F33B2">
            <w:pPr>
              <w:widowControl/>
              <w:jc w:val="left"/>
              <w:rPr>
                <w:rFonts w:ascii="宋体" w:eastAsia="宋体" w:hAnsi="宋体" w:cs="宋体" w:hint="eastAsia"/>
                <w:b/>
                <w:color w:val="000000"/>
                <w:kern w:val="0"/>
                <w:sz w:val="28"/>
                <w:szCs w:val="28"/>
              </w:rPr>
            </w:pPr>
            <w:r>
              <w:rPr>
                <w:rFonts w:ascii="宋体" w:eastAsia="宋体" w:hAnsi="宋体" w:cs="宋体" w:hint="eastAsia"/>
                <w:b/>
                <w:color w:val="000000"/>
                <w:kern w:val="0"/>
                <w:sz w:val="28"/>
                <w:szCs w:val="28"/>
              </w:rPr>
              <w:t>杨谨瑜</w:t>
            </w:r>
          </w:p>
        </w:tc>
        <w:tc>
          <w:tcPr>
            <w:tcW w:w="1834" w:type="dxa"/>
            <w:tcBorders>
              <w:top w:val="single" w:sz="4" w:space="0" w:color="auto"/>
              <w:left w:val="nil"/>
              <w:bottom w:val="single" w:sz="4" w:space="0" w:color="auto"/>
              <w:right w:val="single" w:sz="4" w:space="0" w:color="auto"/>
            </w:tcBorders>
            <w:noWrap/>
            <w:vAlign w:val="center"/>
            <w:hideMark/>
          </w:tcPr>
          <w:p w14:paraId="2368A8AA" w14:textId="77777777" w:rsidR="000F33B2" w:rsidRPr="003F7766" w:rsidRDefault="000F33B2" w:rsidP="000F33B2">
            <w:pPr>
              <w:widowControl/>
              <w:jc w:val="left"/>
              <w:rPr>
                <w:rFonts w:ascii="宋体" w:eastAsia="宋体" w:hAnsi="宋体" w:cs="宋体" w:hint="eastAsia"/>
                <w:b/>
                <w:color w:val="000000"/>
                <w:kern w:val="0"/>
                <w:sz w:val="28"/>
                <w:szCs w:val="28"/>
              </w:rPr>
            </w:pPr>
            <w:r w:rsidRPr="003F7766">
              <w:rPr>
                <w:rFonts w:ascii="宋体" w:eastAsia="宋体" w:hAnsi="宋体" w:cs="宋体" w:hint="eastAsia"/>
                <w:b/>
                <w:color w:val="000000"/>
                <w:kern w:val="0"/>
                <w:sz w:val="28"/>
                <w:szCs w:val="28"/>
              </w:rPr>
              <w:t>导</w:t>
            </w:r>
            <w:r>
              <w:rPr>
                <w:rFonts w:ascii="宋体" w:eastAsia="宋体" w:hAnsi="宋体" w:cs="宋体" w:hint="eastAsia"/>
                <w:b/>
                <w:color w:val="000000"/>
                <w:kern w:val="0"/>
                <w:sz w:val="28"/>
                <w:szCs w:val="28"/>
              </w:rPr>
              <w:t xml:space="preserve">    </w:t>
            </w:r>
            <w:r w:rsidRPr="003F7766">
              <w:rPr>
                <w:rFonts w:ascii="宋体" w:eastAsia="宋体" w:hAnsi="宋体" w:cs="宋体" w:hint="eastAsia"/>
                <w:b/>
                <w:color w:val="000000"/>
                <w:kern w:val="0"/>
                <w:sz w:val="28"/>
                <w:szCs w:val="28"/>
              </w:rPr>
              <w:t>师：</w:t>
            </w:r>
          </w:p>
        </w:tc>
        <w:tc>
          <w:tcPr>
            <w:tcW w:w="3951" w:type="dxa"/>
            <w:tcBorders>
              <w:top w:val="single" w:sz="4" w:space="0" w:color="auto"/>
              <w:left w:val="nil"/>
              <w:bottom w:val="single" w:sz="4" w:space="0" w:color="auto"/>
              <w:right w:val="single" w:sz="4" w:space="0" w:color="auto"/>
            </w:tcBorders>
            <w:noWrap/>
            <w:vAlign w:val="center"/>
            <w:hideMark/>
          </w:tcPr>
          <w:p w14:paraId="011B43D9" w14:textId="62A710B3" w:rsidR="000F33B2" w:rsidRPr="006617B4" w:rsidRDefault="006617B4" w:rsidP="000F33B2">
            <w:pPr>
              <w:widowControl/>
              <w:jc w:val="left"/>
              <w:rPr>
                <w:rFonts w:ascii="宋体" w:eastAsia="宋体" w:hAnsi="宋体" w:cs="宋体" w:hint="eastAsia"/>
                <w:b/>
                <w:color w:val="000000"/>
                <w:kern w:val="0"/>
                <w:sz w:val="28"/>
                <w:szCs w:val="28"/>
              </w:rPr>
            </w:pPr>
            <w:r w:rsidRPr="006617B4">
              <w:rPr>
                <w:rFonts w:ascii="宋体" w:eastAsia="宋体" w:hAnsi="宋体" w:cs="宋体" w:hint="eastAsia"/>
                <w:b/>
                <w:color w:val="000000"/>
                <w:kern w:val="0"/>
                <w:sz w:val="28"/>
                <w:szCs w:val="28"/>
              </w:rPr>
              <w:t>董大勇</w:t>
            </w:r>
          </w:p>
        </w:tc>
      </w:tr>
      <w:tr w:rsidR="000F33B2" w:rsidRPr="003F7766" w14:paraId="55F70090" w14:textId="77777777" w:rsidTr="000F33B2">
        <w:trPr>
          <w:trHeight w:val="678"/>
        </w:trPr>
        <w:tc>
          <w:tcPr>
            <w:tcW w:w="1582" w:type="dxa"/>
            <w:tcBorders>
              <w:top w:val="nil"/>
              <w:left w:val="single" w:sz="4" w:space="0" w:color="auto"/>
              <w:bottom w:val="single" w:sz="4" w:space="0" w:color="auto"/>
              <w:right w:val="single" w:sz="4" w:space="0" w:color="auto"/>
            </w:tcBorders>
            <w:noWrap/>
            <w:vAlign w:val="center"/>
            <w:hideMark/>
          </w:tcPr>
          <w:p w14:paraId="2DE54DAA" w14:textId="77777777" w:rsidR="000F33B2" w:rsidRPr="003F7766" w:rsidRDefault="000F33B2" w:rsidP="000F33B2">
            <w:pPr>
              <w:widowControl/>
              <w:jc w:val="left"/>
              <w:rPr>
                <w:rFonts w:ascii="宋体" w:eastAsia="宋体" w:hAnsi="宋体" w:cs="宋体" w:hint="eastAsia"/>
                <w:b/>
                <w:color w:val="000000"/>
                <w:kern w:val="0"/>
                <w:sz w:val="28"/>
                <w:szCs w:val="28"/>
              </w:rPr>
            </w:pPr>
            <w:r w:rsidRPr="003F7766">
              <w:rPr>
                <w:rFonts w:ascii="宋体" w:eastAsia="宋体" w:hAnsi="宋体" w:cs="宋体" w:hint="eastAsia"/>
                <w:b/>
                <w:color w:val="000000"/>
                <w:kern w:val="0"/>
                <w:sz w:val="28"/>
                <w:szCs w:val="28"/>
              </w:rPr>
              <w:t>专</w:t>
            </w:r>
            <w:r>
              <w:rPr>
                <w:rFonts w:ascii="宋体" w:eastAsia="宋体" w:hAnsi="宋体" w:cs="宋体" w:hint="eastAsia"/>
                <w:b/>
                <w:color w:val="000000"/>
                <w:kern w:val="0"/>
                <w:sz w:val="28"/>
                <w:szCs w:val="28"/>
              </w:rPr>
              <w:t xml:space="preserve">  </w:t>
            </w:r>
            <w:r w:rsidRPr="003F7766">
              <w:rPr>
                <w:rFonts w:ascii="宋体" w:eastAsia="宋体" w:hAnsi="宋体" w:cs="宋体" w:hint="eastAsia"/>
                <w:b/>
                <w:color w:val="000000"/>
                <w:kern w:val="0"/>
                <w:sz w:val="28"/>
                <w:szCs w:val="28"/>
              </w:rPr>
              <w:t>业：</w:t>
            </w:r>
          </w:p>
        </w:tc>
        <w:tc>
          <w:tcPr>
            <w:tcW w:w="2327" w:type="dxa"/>
            <w:tcBorders>
              <w:top w:val="nil"/>
              <w:left w:val="nil"/>
              <w:bottom w:val="single" w:sz="4" w:space="0" w:color="auto"/>
              <w:right w:val="single" w:sz="4" w:space="0" w:color="auto"/>
            </w:tcBorders>
            <w:noWrap/>
            <w:vAlign w:val="center"/>
            <w:hideMark/>
          </w:tcPr>
          <w:p w14:paraId="50E148D0" w14:textId="2E325205" w:rsidR="000F33B2" w:rsidRPr="003F7766" w:rsidRDefault="006617B4" w:rsidP="000F33B2">
            <w:pPr>
              <w:widowControl/>
              <w:jc w:val="left"/>
              <w:rPr>
                <w:rFonts w:ascii="宋体" w:eastAsia="宋体" w:hAnsi="宋体" w:cs="宋体" w:hint="eastAsia"/>
                <w:b/>
                <w:color w:val="000000"/>
                <w:kern w:val="0"/>
                <w:sz w:val="28"/>
                <w:szCs w:val="28"/>
              </w:rPr>
            </w:pPr>
            <w:r>
              <w:rPr>
                <w:rFonts w:ascii="宋体" w:eastAsia="宋体" w:hAnsi="宋体" w:cs="宋体" w:hint="eastAsia"/>
                <w:b/>
                <w:color w:val="000000"/>
                <w:kern w:val="0"/>
                <w:sz w:val="28"/>
                <w:szCs w:val="28"/>
              </w:rPr>
              <w:t>管理科学与工程</w:t>
            </w:r>
          </w:p>
        </w:tc>
        <w:tc>
          <w:tcPr>
            <w:tcW w:w="1834" w:type="dxa"/>
            <w:tcBorders>
              <w:top w:val="nil"/>
              <w:left w:val="nil"/>
              <w:bottom w:val="single" w:sz="4" w:space="0" w:color="auto"/>
              <w:right w:val="single" w:sz="4" w:space="0" w:color="auto"/>
            </w:tcBorders>
            <w:noWrap/>
            <w:vAlign w:val="center"/>
            <w:hideMark/>
          </w:tcPr>
          <w:p w14:paraId="6DB331C8" w14:textId="77777777" w:rsidR="000F33B2" w:rsidRPr="003F7766" w:rsidRDefault="000F33B2" w:rsidP="000F33B2">
            <w:pPr>
              <w:widowControl/>
              <w:jc w:val="left"/>
              <w:rPr>
                <w:rFonts w:ascii="宋体" w:eastAsia="宋体" w:hAnsi="宋体" w:cs="宋体" w:hint="eastAsia"/>
                <w:b/>
                <w:color w:val="000000"/>
                <w:kern w:val="0"/>
                <w:sz w:val="28"/>
                <w:szCs w:val="28"/>
              </w:rPr>
            </w:pPr>
            <w:r w:rsidRPr="00CA3673">
              <w:rPr>
                <w:rFonts w:ascii="宋体" w:eastAsia="宋体" w:hAnsi="宋体" w:cs="宋体" w:hint="eastAsia"/>
                <w:b/>
                <w:color w:val="000000"/>
                <w:kern w:val="0"/>
                <w:sz w:val="28"/>
                <w:szCs w:val="28"/>
              </w:rPr>
              <w:t>研究方</w:t>
            </w:r>
            <w:r w:rsidRPr="003F7766">
              <w:rPr>
                <w:rFonts w:ascii="宋体" w:eastAsia="宋体" w:hAnsi="宋体" w:cs="宋体" w:hint="eastAsia"/>
                <w:b/>
                <w:color w:val="000000"/>
                <w:kern w:val="0"/>
                <w:sz w:val="28"/>
                <w:szCs w:val="28"/>
              </w:rPr>
              <w:t>向：</w:t>
            </w:r>
          </w:p>
        </w:tc>
        <w:tc>
          <w:tcPr>
            <w:tcW w:w="3951" w:type="dxa"/>
            <w:tcBorders>
              <w:top w:val="nil"/>
              <w:left w:val="nil"/>
              <w:bottom w:val="single" w:sz="4" w:space="0" w:color="auto"/>
              <w:right w:val="single" w:sz="4" w:space="0" w:color="auto"/>
            </w:tcBorders>
            <w:noWrap/>
            <w:vAlign w:val="center"/>
            <w:hideMark/>
          </w:tcPr>
          <w:p w14:paraId="0E89C27D" w14:textId="37BABBD0" w:rsidR="000F33B2" w:rsidRPr="003F7766" w:rsidRDefault="00A223F3" w:rsidP="000F33B2">
            <w:pPr>
              <w:widowControl/>
              <w:jc w:val="left"/>
              <w:rPr>
                <w:rFonts w:ascii="宋体" w:eastAsia="宋体" w:hAnsi="宋体" w:cs="宋体" w:hint="eastAsia"/>
                <w:color w:val="000000"/>
                <w:kern w:val="0"/>
                <w:sz w:val="24"/>
                <w:szCs w:val="24"/>
              </w:rPr>
            </w:pPr>
            <w:r>
              <w:rPr>
                <w:rFonts w:ascii="宋体" w:eastAsia="宋体" w:hAnsi="宋体" w:cs="宋体" w:hint="eastAsia"/>
                <w:b/>
                <w:color w:val="000000"/>
                <w:kern w:val="0"/>
                <w:sz w:val="28"/>
                <w:szCs w:val="28"/>
              </w:rPr>
              <w:t>公司金融、行为金融</w:t>
            </w:r>
          </w:p>
        </w:tc>
      </w:tr>
      <w:tr w:rsidR="000F33B2" w:rsidRPr="003F7766" w14:paraId="133D2030" w14:textId="77777777" w:rsidTr="000F33B2">
        <w:trPr>
          <w:trHeight w:val="678"/>
        </w:trPr>
        <w:tc>
          <w:tcPr>
            <w:tcW w:w="1582" w:type="dxa"/>
            <w:tcBorders>
              <w:top w:val="nil"/>
              <w:left w:val="single" w:sz="4" w:space="0" w:color="auto"/>
              <w:bottom w:val="single" w:sz="4" w:space="0" w:color="auto"/>
              <w:right w:val="single" w:sz="4" w:space="0" w:color="auto"/>
            </w:tcBorders>
            <w:noWrap/>
            <w:vAlign w:val="center"/>
            <w:hideMark/>
          </w:tcPr>
          <w:p w14:paraId="7FDD7544" w14:textId="77777777" w:rsidR="000F33B2" w:rsidRPr="003F7766" w:rsidRDefault="000F33B2" w:rsidP="000F33B2">
            <w:pPr>
              <w:widowControl/>
              <w:jc w:val="left"/>
              <w:rPr>
                <w:rFonts w:ascii="宋体" w:eastAsia="宋体" w:hAnsi="宋体" w:cs="宋体" w:hint="eastAsia"/>
                <w:b/>
                <w:color w:val="000000"/>
                <w:kern w:val="0"/>
                <w:sz w:val="28"/>
                <w:szCs w:val="28"/>
              </w:rPr>
            </w:pPr>
            <w:r>
              <w:rPr>
                <w:rFonts w:ascii="宋体" w:eastAsia="宋体" w:hAnsi="宋体" w:cs="宋体" w:hint="eastAsia"/>
                <w:b/>
                <w:color w:val="000000"/>
                <w:kern w:val="0"/>
                <w:sz w:val="28"/>
                <w:szCs w:val="28"/>
              </w:rPr>
              <w:t>论文题目：</w:t>
            </w:r>
          </w:p>
        </w:tc>
        <w:tc>
          <w:tcPr>
            <w:tcW w:w="8112" w:type="dxa"/>
            <w:gridSpan w:val="3"/>
            <w:tcBorders>
              <w:top w:val="nil"/>
              <w:left w:val="nil"/>
              <w:bottom w:val="single" w:sz="4" w:space="0" w:color="auto"/>
              <w:right w:val="single" w:sz="4" w:space="0" w:color="auto"/>
            </w:tcBorders>
            <w:noWrap/>
            <w:vAlign w:val="center"/>
            <w:hideMark/>
          </w:tcPr>
          <w:p w14:paraId="6DE8B38D" w14:textId="4151D567" w:rsidR="000F33B2" w:rsidRPr="003F7766" w:rsidRDefault="00A223F3" w:rsidP="000F33B2">
            <w:pPr>
              <w:widowControl/>
              <w:jc w:val="left"/>
              <w:rPr>
                <w:rFonts w:ascii="宋体" w:eastAsia="宋体" w:hAnsi="宋体" w:cs="宋体" w:hint="eastAsia"/>
                <w:color w:val="000000"/>
                <w:kern w:val="0"/>
                <w:sz w:val="24"/>
                <w:szCs w:val="24"/>
              </w:rPr>
            </w:pPr>
            <w:r w:rsidRPr="00A223F3">
              <w:rPr>
                <w:rFonts w:ascii="宋体" w:eastAsia="宋体" w:hAnsi="宋体" w:cs="宋体" w:hint="eastAsia"/>
                <w:b/>
                <w:color w:val="000000"/>
                <w:kern w:val="0"/>
                <w:sz w:val="28"/>
                <w:szCs w:val="28"/>
              </w:rPr>
              <w:t>机构投资者调研披露与市场可疑行为研究</w:t>
            </w:r>
          </w:p>
        </w:tc>
      </w:tr>
      <w:tr w:rsidR="000F33B2" w:rsidRPr="003F7766" w14:paraId="7FC6235A" w14:textId="77777777" w:rsidTr="000F33B2">
        <w:trPr>
          <w:trHeight w:val="704"/>
        </w:trPr>
        <w:tc>
          <w:tcPr>
            <w:tcW w:w="9694" w:type="dxa"/>
            <w:gridSpan w:val="4"/>
            <w:tcBorders>
              <w:top w:val="single" w:sz="4" w:space="0" w:color="auto"/>
              <w:left w:val="single" w:sz="4" w:space="0" w:color="auto"/>
              <w:bottom w:val="single" w:sz="4" w:space="0" w:color="auto"/>
              <w:right w:val="single" w:sz="4" w:space="0" w:color="auto"/>
            </w:tcBorders>
            <w:noWrap/>
            <w:vAlign w:val="center"/>
            <w:hideMark/>
          </w:tcPr>
          <w:p w14:paraId="2B087D92" w14:textId="77777777" w:rsidR="000F33B2" w:rsidRPr="003F7766" w:rsidRDefault="000F33B2" w:rsidP="000F33B2">
            <w:pPr>
              <w:widowControl/>
              <w:jc w:val="center"/>
              <w:rPr>
                <w:rFonts w:ascii="宋体" w:eastAsia="宋体" w:hAnsi="宋体" w:cs="宋体" w:hint="eastAsia"/>
                <w:b/>
                <w:color w:val="000000"/>
                <w:kern w:val="0"/>
                <w:sz w:val="28"/>
                <w:szCs w:val="28"/>
              </w:rPr>
            </w:pPr>
            <w:r w:rsidRPr="003F7766">
              <w:rPr>
                <w:rFonts w:ascii="宋体" w:eastAsia="宋体" w:hAnsi="宋体" w:cs="宋体" w:hint="eastAsia"/>
                <w:b/>
                <w:color w:val="000000"/>
                <w:kern w:val="0"/>
                <w:sz w:val="28"/>
                <w:szCs w:val="28"/>
              </w:rPr>
              <w:t>摘</w:t>
            </w:r>
            <w:r w:rsidRPr="00CA3673">
              <w:rPr>
                <w:rFonts w:ascii="宋体" w:eastAsia="宋体" w:hAnsi="宋体" w:cs="宋体" w:hint="eastAsia"/>
                <w:b/>
                <w:color w:val="000000"/>
                <w:kern w:val="0"/>
                <w:sz w:val="28"/>
                <w:szCs w:val="28"/>
              </w:rPr>
              <w:t xml:space="preserve">        </w:t>
            </w:r>
            <w:r w:rsidRPr="003F7766">
              <w:rPr>
                <w:rFonts w:ascii="宋体" w:eastAsia="宋体" w:hAnsi="宋体" w:cs="宋体" w:hint="eastAsia"/>
                <w:b/>
                <w:color w:val="000000"/>
                <w:kern w:val="0"/>
                <w:sz w:val="28"/>
                <w:szCs w:val="28"/>
              </w:rPr>
              <w:t>要</w:t>
            </w:r>
          </w:p>
        </w:tc>
      </w:tr>
      <w:tr w:rsidR="000F33B2" w:rsidRPr="003F7766" w14:paraId="12662B62" w14:textId="77777777" w:rsidTr="000F33B2">
        <w:trPr>
          <w:trHeight w:val="704"/>
        </w:trPr>
        <w:tc>
          <w:tcPr>
            <w:tcW w:w="9694" w:type="dxa"/>
            <w:gridSpan w:val="4"/>
            <w:tcBorders>
              <w:top w:val="single" w:sz="4" w:space="0" w:color="auto"/>
              <w:left w:val="single" w:sz="4" w:space="0" w:color="auto"/>
              <w:bottom w:val="single" w:sz="4" w:space="0" w:color="auto"/>
              <w:right w:val="single" w:sz="4" w:space="0" w:color="auto"/>
            </w:tcBorders>
            <w:noWrap/>
            <w:vAlign w:val="center"/>
            <w:hideMark/>
          </w:tcPr>
          <w:p w14:paraId="508DF316" w14:textId="77777777" w:rsidR="00A223F3" w:rsidRPr="00A223F3" w:rsidRDefault="00A223F3" w:rsidP="00A223F3">
            <w:pPr>
              <w:ind w:firstLine="480"/>
              <w:rPr>
                <w:rFonts w:ascii="Times New Roman" w:hAnsi="Times New Roman" w:cs="Times New Roman" w:hint="eastAsia"/>
              </w:rPr>
            </w:pPr>
            <w:r w:rsidRPr="00A223F3">
              <w:rPr>
                <w:rFonts w:ascii="Times New Roman" w:hAnsi="Times New Roman" w:cs="Times New Roman" w:hint="eastAsia"/>
              </w:rPr>
              <w:t>证券市场操纵行为严重破坏市场秩序。操纵者通过人为操控证券价格，制造虚假市场信号，干扰市场正常功能，损害投资者利益，削弱投资者对市场的信任。若不加以遏制，此类行为甚至可能威胁金融体系稳定，诱发系统性风险。当前关于市场操纵的研究，大多依赖于监管部门披露的被处罚案例作为“黑色样本”开展实证分析。但是，市场操纵的界定本身存在模糊性，这使得在实证研究中难以构建完备的对照组，进而陷入样本困境。同时，实证研究方法和指标选取具有间接性和复杂性。然而，机构投资者调研披露为研究市场操纵行为提供了一个典型且独特的场景。在这一场景中，参与调研的机构投资者、未参与调研的局外投资者以及公司管理层等多市场主体的信息交互与交易行为高度集中，为操纵行为（无论是合谋还是非合谋）提供了潜在空间。近年来，沪深两市的上市公司普遍接受过机构投资者调研，累计调研频次高达数十万次，这不仅为市场操纵的实证研究提供了丰富的数据基础，也使得相关研究能够更有效地展开。因此，本文突破了现有市场操纵实证研究的样本困境，不再依赖于监管部门披露的“黑色样本”，而是基于可测的金融市场异象，聚焦于机构投资者调研信息披露场景下的疑似市场操纵行为，开展市场可疑行为研究。本文选取</w:t>
            </w:r>
            <w:r w:rsidRPr="00A223F3">
              <w:rPr>
                <w:rFonts w:ascii="Times New Roman" w:hAnsi="Times New Roman" w:cs="Times New Roman" w:hint="eastAsia"/>
              </w:rPr>
              <w:t>2013</w:t>
            </w:r>
            <w:r w:rsidRPr="00A223F3">
              <w:rPr>
                <w:rFonts w:ascii="Times New Roman" w:hAnsi="Times New Roman" w:cs="Times New Roman" w:hint="eastAsia"/>
              </w:rPr>
              <w:t>—</w:t>
            </w:r>
            <w:r w:rsidRPr="00A223F3">
              <w:rPr>
                <w:rFonts w:ascii="Times New Roman" w:hAnsi="Times New Roman" w:cs="Times New Roman" w:hint="eastAsia"/>
              </w:rPr>
              <w:t>2020</w:t>
            </w:r>
            <w:r w:rsidRPr="00A223F3">
              <w:rPr>
                <w:rFonts w:ascii="Times New Roman" w:hAnsi="Times New Roman" w:cs="Times New Roman" w:hint="eastAsia"/>
              </w:rPr>
              <w:t>年中国沪深</w:t>
            </w:r>
            <w:r w:rsidRPr="00A223F3">
              <w:rPr>
                <w:rFonts w:ascii="Times New Roman" w:hAnsi="Times New Roman" w:cs="Times New Roman" w:hint="eastAsia"/>
              </w:rPr>
              <w:t>A</w:t>
            </w:r>
            <w:r w:rsidRPr="00A223F3">
              <w:rPr>
                <w:rFonts w:ascii="Times New Roman" w:hAnsi="Times New Roman" w:cs="Times New Roman" w:hint="eastAsia"/>
              </w:rPr>
              <w:t>股上市公司的机构投资者调研数据作为研究样本，展开以下研究并得出相应结论。</w:t>
            </w:r>
          </w:p>
          <w:p w14:paraId="70B36EED" w14:textId="77777777" w:rsidR="00A223F3" w:rsidRPr="00A223F3" w:rsidRDefault="00A223F3" w:rsidP="00A223F3">
            <w:pPr>
              <w:ind w:firstLine="480"/>
              <w:rPr>
                <w:rFonts w:ascii="Times New Roman" w:hAnsi="Times New Roman" w:cs="Times New Roman" w:hint="eastAsia"/>
              </w:rPr>
            </w:pPr>
            <w:r w:rsidRPr="00A223F3">
              <w:rPr>
                <w:rFonts w:ascii="Times New Roman" w:hAnsi="Times New Roman" w:cs="Times New Roman" w:hint="eastAsia"/>
              </w:rPr>
              <w:t>第一，机构投资者调研披露场景下疑似操纵行为异定义。利用事件研究法，基于机构投资者调研披露事件窗口期三个重要时段（事件发生前一个月、事件发生当天和事件发生后一年）累计异常收益的表现，聚焦投资者收益损失风险，定义了机构调研披露场景下疑似操纵行为的异象——操纵式效应。进一步，对操纵式效应进行了描述性统计，包括操纵式效应在总研究样本中分布情况、操纵式效应的年度分布情况和操纵式效应在上市公司的分布情况。得到以下结论：操纵式效应的发生概率每年均接近，这一现象表明，时间效应对操纵式效应的影响微乎其微。也间接验证了本文所定义的疑似操纵行为的异象能够有效排除市场系统性风险的干扰。</w:t>
            </w:r>
          </w:p>
          <w:p w14:paraId="2EB3756E" w14:textId="77777777" w:rsidR="00A223F3" w:rsidRPr="00A223F3" w:rsidRDefault="00A223F3" w:rsidP="00A223F3">
            <w:pPr>
              <w:ind w:firstLine="480"/>
              <w:rPr>
                <w:rFonts w:ascii="Times New Roman" w:hAnsi="Times New Roman" w:cs="Times New Roman" w:hint="eastAsia"/>
              </w:rPr>
            </w:pPr>
            <w:r w:rsidRPr="00A223F3">
              <w:rPr>
                <w:rFonts w:ascii="Times New Roman" w:hAnsi="Times New Roman" w:cs="Times New Roman" w:hint="eastAsia"/>
              </w:rPr>
              <w:t>第二，操纵式效应的归因性检验，证实操纵式效应与市场操纵行为的内在关联性。采用</w:t>
            </w:r>
            <w:r w:rsidRPr="00A223F3">
              <w:rPr>
                <w:rFonts w:ascii="Times New Roman" w:hAnsi="Times New Roman" w:cs="Times New Roman" w:hint="eastAsia"/>
              </w:rPr>
              <w:t>Logistic</w:t>
            </w:r>
            <w:r w:rsidRPr="00A223F3">
              <w:rPr>
                <w:rFonts w:ascii="Times New Roman" w:hAnsi="Times New Roman" w:cs="Times New Roman" w:hint="eastAsia"/>
              </w:rPr>
              <w:t>回归和机器学习二分类方法，对机构调研披露场景下的操纵式效应进行了归因性检验。</w:t>
            </w:r>
            <w:r w:rsidRPr="00A223F3">
              <w:rPr>
                <w:rFonts w:ascii="Times New Roman" w:hAnsi="Times New Roman" w:cs="Times New Roman" w:hint="eastAsia"/>
              </w:rPr>
              <w:t>Logistic</w:t>
            </w:r>
            <w:r w:rsidRPr="00A223F3">
              <w:rPr>
                <w:rFonts w:ascii="Times New Roman" w:hAnsi="Times New Roman" w:cs="Times New Roman" w:hint="eastAsia"/>
              </w:rPr>
              <w:t>回归结果表明，几乎所有市场操纵行为的关键识别特征均显著影响操纵式效应的发生概率，这不仅凸显了这些因素在操纵式效应形成中的关键作用，也有力证实了市场操纵行为与操纵式效应之间存在显著关联。此外，基于市场操纵行为关键特征集构建的机器学习分类模型，在识别操纵式效应方面显著优于随机分类模型，从模型评价维度进一步验证了市场操纵行为与操纵式效应之间的内在联系。</w:t>
            </w:r>
          </w:p>
          <w:p w14:paraId="35ACD634" w14:textId="77777777" w:rsidR="00A223F3" w:rsidRPr="00A223F3" w:rsidRDefault="00A223F3" w:rsidP="00A223F3">
            <w:pPr>
              <w:ind w:firstLine="480"/>
              <w:rPr>
                <w:rFonts w:ascii="Times New Roman" w:hAnsi="Times New Roman" w:cs="Times New Roman" w:hint="eastAsia"/>
              </w:rPr>
            </w:pPr>
            <w:r w:rsidRPr="00A223F3">
              <w:rPr>
                <w:rFonts w:ascii="Times New Roman" w:hAnsi="Times New Roman" w:cs="Times New Roman" w:hint="eastAsia"/>
              </w:rPr>
              <w:t>第三，操纵式效应的存在性检验，证实操纵式效应在机构调研披露场景中的存在性。首先，剔除机构调研披露前后一个月有公司其它重大公告披露的样本。采用样本间比例差异</w:t>
            </w:r>
            <w:r w:rsidRPr="00A223F3">
              <w:rPr>
                <w:rFonts w:ascii="Times New Roman" w:hAnsi="Times New Roman" w:cs="Times New Roman" w:hint="eastAsia"/>
              </w:rPr>
              <w:t>Z</w:t>
            </w:r>
            <w:r w:rsidRPr="00A223F3">
              <w:rPr>
                <w:rFonts w:ascii="Times New Roman" w:hAnsi="Times New Roman" w:cs="Times New Roman" w:hint="eastAsia"/>
              </w:rPr>
              <w:t>检验方法，发现操纵式效应在剔除后的样本中发生的概率与总样本中操纵式效应发生的概率相当。这证明了机构调研披露场景的操纵式效应不由其它重大披露事件导致。其次，利用</w:t>
            </w:r>
            <w:r w:rsidRPr="00A223F3">
              <w:rPr>
                <w:rFonts w:ascii="Times New Roman" w:hAnsi="Times New Roman" w:cs="Times New Roman" w:hint="eastAsia"/>
              </w:rPr>
              <w:t>PSM</w:t>
            </w:r>
            <w:r w:rsidRPr="00A223F3">
              <w:rPr>
                <w:rFonts w:ascii="Times New Roman" w:hAnsi="Times New Roman" w:cs="Times New Roman" w:hint="eastAsia"/>
              </w:rPr>
              <w:t>对机构调研事件和其它重大披露事件进行匹配，得到</w:t>
            </w:r>
            <w:r w:rsidRPr="00A223F3">
              <w:rPr>
                <w:rFonts w:ascii="Times New Roman" w:hAnsi="Times New Roman" w:cs="Times New Roman" w:hint="eastAsia"/>
              </w:rPr>
              <w:t>PSM</w:t>
            </w:r>
            <w:r w:rsidRPr="00A223F3">
              <w:rPr>
                <w:rFonts w:ascii="Times New Roman" w:hAnsi="Times New Roman" w:cs="Times New Roman" w:hint="eastAsia"/>
              </w:rPr>
              <w:t>匹配下的其它重大披露事件样本。采用样本间比例差异</w:t>
            </w:r>
            <w:r w:rsidRPr="00A223F3">
              <w:rPr>
                <w:rFonts w:ascii="Times New Roman" w:hAnsi="Times New Roman" w:cs="Times New Roman" w:hint="eastAsia"/>
              </w:rPr>
              <w:t>Z</w:t>
            </w:r>
            <w:r w:rsidRPr="00A223F3">
              <w:rPr>
                <w:rFonts w:ascii="Times New Roman" w:hAnsi="Times New Roman" w:cs="Times New Roman" w:hint="eastAsia"/>
              </w:rPr>
              <w:t>检验方法，发现公司其它重大披露场景下操纵式效应发生的概率显著小于机构调研披露场景下操纵式效应发生的概率。这证明了本文选择机构调研披露场景作为研究疑似操纵行为的背景的合理性。最后，基于操纵式效应构建对冲组合，发现此对冲组合的超额收益无法完全被动量效应和反转效应解释，证实了操纵式效应存在于动量效应和反转效应之外。</w:t>
            </w:r>
          </w:p>
          <w:p w14:paraId="42A2492E" w14:textId="77777777" w:rsidR="00A223F3" w:rsidRPr="00A223F3" w:rsidRDefault="00A223F3" w:rsidP="00A223F3">
            <w:pPr>
              <w:ind w:firstLine="480"/>
              <w:rPr>
                <w:rFonts w:ascii="Times New Roman" w:hAnsi="Times New Roman" w:cs="Times New Roman" w:hint="eastAsia"/>
              </w:rPr>
            </w:pPr>
            <w:r w:rsidRPr="00A223F3">
              <w:rPr>
                <w:rFonts w:ascii="Times New Roman" w:hAnsi="Times New Roman" w:cs="Times New Roman" w:hint="eastAsia"/>
              </w:rPr>
              <w:lastRenderedPageBreak/>
              <w:t>第四，识别了机构调研披露场景中与操纵式效应发生密切相关的行为特征。本文从机构投资者与被调研公司管理层可能存在的共谋或非共谋操纵行为的角度出发，对机构调研披露场景中的操纵式效应行为特征进行了详细讨论和衡量。这些特征包括调研时间、调研规模、调研披露文本的可读性、篇幅、叙事风格（例如是否采用连问、分级标题）、调研参与者中利益相关机构的占比以及是否为调研秀等。其次，通过单变量分组检验，发现调研规模、调研披露文本的可读性以及连问风格等行为特征对操纵式效应的发生具有显著影响。最后，借助机器学习二分类模型对操纵式效应进行识别，进一步证实了这些特殊行为特征在识别操纵式效应中的有效性。这些结论表明机构调研披露场景中的特殊行为特征，如连问、分级标题等叙事风格的披露方式，与操纵式效应的发生存在显著关联性，揭示了机构调研披露过程中潜在的操纵行为模式，为理解和识别市场操纵提供了新的视角和依据。</w:t>
            </w:r>
          </w:p>
          <w:p w14:paraId="66DE3DB4" w14:textId="77777777" w:rsidR="00A223F3" w:rsidRPr="00A223F3" w:rsidRDefault="00A223F3" w:rsidP="00A223F3">
            <w:pPr>
              <w:ind w:firstLine="480"/>
              <w:rPr>
                <w:rFonts w:ascii="Times New Roman" w:hAnsi="Times New Roman" w:cs="Times New Roman" w:hint="eastAsia"/>
              </w:rPr>
            </w:pPr>
            <w:r w:rsidRPr="00A223F3">
              <w:rPr>
                <w:rFonts w:ascii="Times New Roman" w:hAnsi="Times New Roman" w:cs="Times New Roman" w:hint="eastAsia"/>
              </w:rPr>
              <w:t>第五，基于操纵式效应识别结果的投资组合应用。本文基于操纵式效应的机器学习预测结果，构建了投资组合策略，以动量效应和反转效应投资组合策略作为比较基准，从三个投资组合策略的收益表现、预测效果以及资产配置绩效对操纵式效应投资组合策略与基准投资组合策略的表现进行比较分析。实证研究结果表明基于操纵式效应构建的投资组合在收益表现、预测效果和资产配置绩效方面展现出优势。</w:t>
            </w:r>
          </w:p>
          <w:p w14:paraId="42D8CE11" w14:textId="76F213FB" w:rsidR="000F33B2" w:rsidRPr="00797634" w:rsidRDefault="00A223F3" w:rsidP="00A223F3">
            <w:pPr>
              <w:ind w:firstLine="480"/>
              <w:rPr>
                <w:rFonts w:ascii="Times New Roman" w:hAnsi="Times New Roman" w:cs="Times New Roman"/>
              </w:rPr>
            </w:pPr>
            <w:r w:rsidRPr="00A223F3">
              <w:rPr>
                <w:rFonts w:ascii="Times New Roman" w:hAnsi="Times New Roman" w:cs="Times New Roman" w:hint="eastAsia"/>
              </w:rPr>
              <w:t>以上研究结论在一系列稳健性检验中仍然成立，实现了结合实际数据对操纵式效应的识别、影响和预测的分析有利于进一步加深对市场操纵行为的理解及对市场操纵行为的直接观测。实现了基于从机构调研大数据到操纵式效应识别的市场操纵风险预警，将监管目标从传统的“市场操纵行为本体防范”，转移到对“操纵式效应”及其引发的市场操纵效应风险的防范上。这一转变不仅有助于提升监管效率，更能有效应对市场操纵行为带来的潜在风险，为金融市场的稳定运行提供有力保障。</w:t>
            </w:r>
          </w:p>
        </w:tc>
      </w:tr>
    </w:tbl>
    <w:p w14:paraId="749B13D5" w14:textId="77777777" w:rsidR="00694F44" w:rsidRPr="00F94709" w:rsidRDefault="00694F44" w:rsidP="00F95865">
      <w:pPr>
        <w:rPr>
          <w:sz w:val="24"/>
          <w:szCs w:val="24"/>
        </w:rPr>
      </w:pPr>
    </w:p>
    <w:sectPr w:rsidR="00694F44" w:rsidRPr="00F94709" w:rsidSect="000C309C">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3EADEA" w14:textId="77777777" w:rsidR="00065D95" w:rsidRDefault="00065D95" w:rsidP="00BA5512">
      <w:r>
        <w:separator/>
      </w:r>
    </w:p>
  </w:endnote>
  <w:endnote w:type="continuationSeparator" w:id="0">
    <w:p w14:paraId="27A4F47D" w14:textId="77777777" w:rsidR="00065D95" w:rsidRDefault="00065D95" w:rsidP="00BA55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AC8A78" w14:textId="77777777" w:rsidR="00065D95" w:rsidRDefault="00065D95" w:rsidP="00BA5512">
      <w:r>
        <w:separator/>
      </w:r>
    </w:p>
  </w:footnote>
  <w:footnote w:type="continuationSeparator" w:id="0">
    <w:p w14:paraId="48E9A560" w14:textId="77777777" w:rsidR="00065D95" w:rsidRDefault="00065D95" w:rsidP="00BA551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defaultTabStop w:val="420"/>
  <w:drawingGridVerticalSpacing w:val="156"/>
  <w:displayHorizontalDrawingGridEvery w:val="0"/>
  <w:displayVerticalDrawingGridEvery w:val="2"/>
  <w:characterSpacingControl w:val="compressPunctuation"/>
  <w:savePreviewPicture/>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Setting w:name="useWord2013TrackBottomHyphenation" w:uri="http://schemas.microsoft.com/office/word" w:val="1"/>
  </w:compat>
  <w:rsids>
    <w:rsidRoot w:val="003F7766"/>
    <w:rsid w:val="000561F3"/>
    <w:rsid w:val="00065D95"/>
    <w:rsid w:val="000C309C"/>
    <w:rsid w:val="000F33B2"/>
    <w:rsid w:val="0014433F"/>
    <w:rsid w:val="001A5243"/>
    <w:rsid w:val="001B350E"/>
    <w:rsid w:val="003D17E1"/>
    <w:rsid w:val="003D4482"/>
    <w:rsid w:val="003F7766"/>
    <w:rsid w:val="00445EA3"/>
    <w:rsid w:val="004C04B2"/>
    <w:rsid w:val="00567FA6"/>
    <w:rsid w:val="006617B4"/>
    <w:rsid w:val="00671515"/>
    <w:rsid w:val="006940BD"/>
    <w:rsid w:val="00694F44"/>
    <w:rsid w:val="006D7BC5"/>
    <w:rsid w:val="007161AA"/>
    <w:rsid w:val="00717274"/>
    <w:rsid w:val="00776AA6"/>
    <w:rsid w:val="00797634"/>
    <w:rsid w:val="008B6443"/>
    <w:rsid w:val="00953245"/>
    <w:rsid w:val="009F37AD"/>
    <w:rsid w:val="00A223F3"/>
    <w:rsid w:val="00A26486"/>
    <w:rsid w:val="00AE6D93"/>
    <w:rsid w:val="00BA5512"/>
    <w:rsid w:val="00CA3673"/>
    <w:rsid w:val="00D01C3B"/>
    <w:rsid w:val="00DA647F"/>
    <w:rsid w:val="00F14DF6"/>
    <w:rsid w:val="00F75339"/>
    <w:rsid w:val="00F94709"/>
    <w:rsid w:val="00F95865"/>
    <w:rsid w:val="00FB74F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597DC43"/>
  <w15:docId w15:val="{7F332E8F-685E-44C9-8BAB-EFD381806A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C309C"/>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A5512"/>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BA5512"/>
    <w:rPr>
      <w:sz w:val="18"/>
      <w:szCs w:val="18"/>
    </w:rPr>
  </w:style>
  <w:style w:type="paragraph" w:styleId="a5">
    <w:name w:val="footer"/>
    <w:basedOn w:val="a"/>
    <w:link w:val="a6"/>
    <w:uiPriority w:val="99"/>
    <w:unhideWhenUsed/>
    <w:rsid w:val="00BA5512"/>
    <w:pPr>
      <w:tabs>
        <w:tab w:val="center" w:pos="4153"/>
        <w:tab w:val="right" w:pos="8306"/>
      </w:tabs>
      <w:snapToGrid w:val="0"/>
      <w:jc w:val="left"/>
    </w:pPr>
    <w:rPr>
      <w:sz w:val="18"/>
      <w:szCs w:val="18"/>
    </w:rPr>
  </w:style>
  <w:style w:type="character" w:customStyle="1" w:styleId="a6">
    <w:name w:val="页脚 字符"/>
    <w:basedOn w:val="a0"/>
    <w:link w:val="a5"/>
    <w:uiPriority w:val="99"/>
    <w:rsid w:val="00BA5512"/>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80574479">
      <w:bodyDiv w:val="1"/>
      <w:marLeft w:val="0"/>
      <w:marRight w:val="0"/>
      <w:marTop w:val="0"/>
      <w:marBottom w:val="0"/>
      <w:divBdr>
        <w:top w:val="none" w:sz="0" w:space="0" w:color="auto"/>
        <w:left w:val="none" w:sz="0" w:space="0" w:color="auto"/>
        <w:bottom w:val="none" w:sz="0" w:space="0" w:color="auto"/>
        <w:right w:val="none" w:sz="0" w:space="0" w:color="auto"/>
      </w:divBdr>
    </w:div>
    <w:div w:id="13189203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37</TotalTime>
  <Pages>2</Pages>
  <Words>1174</Words>
  <Characters>1187</Characters>
  <Application>Microsoft Office Word</Application>
  <DocSecurity>0</DocSecurity>
  <Lines>34</Lines>
  <Paragraphs>23</Paragraphs>
  <ScaleCrop>false</ScaleCrop>
  <Company>Lenovo</Company>
  <LinksUpToDate>false</LinksUpToDate>
  <CharactersWithSpaces>2338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a11719</cp:lastModifiedBy>
  <cp:revision>21</cp:revision>
  <cp:lastPrinted>2017-01-06T07:14:00Z</cp:lastPrinted>
  <dcterms:created xsi:type="dcterms:W3CDTF">2017-01-06T06:51:00Z</dcterms:created>
  <dcterms:modified xsi:type="dcterms:W3CDTF">2026-01-07T03:59:00Z</dcterms:modified>
</cp:coreProperties>
</file>